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0CD" w:rsidRPr="00894DC9" w:rsidRDefault="008070CD" w:rsidP="008070CD">
      <w:pPr>
        <w:pStyle w:val="Ttulo1"/>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       </w:t>
      </w:r>
      <w:r w:rsidRPr="00894DC9">
        <w:rPr>
          <w:rFonts w:ascii="Calibri" w:hAnsi="Calibri" w:cs="Calibri"/>
          <w:color w:val="767171" w:themeColor="background2" w:themeShade="80"/>
          <w:sz w:val="26"/>
          <w:szCs w:val="26"/>
        </w:rPr>
        <w:t xml:space="preserve">León, Guanajuato, a 23 veintitrés </w:t>
      </w:r>
      <w:r>
        <w:rPr>
          <w:rFonts w:ascii="Calibri" w:hAnsi="Calibri" w:cs="Calibri"/>
          <w:color w:val="767171" w:themeColor="background2" w:themeShade="80"/>
          <w:sz w:val="26"/>
          <w:szCs w:val="26"/>
        </w:rPr>
        <w:t xml:space="preserve">de marzo </w:t>
      </w:r>
      <w:r w:rsidRPr="00894DC9">
        <w:rPr>
          <w:rFonts w:ascii="Calibri" w:hAnsi="Calibri" w:cs="Calibri"/>
          <w:color w:val="767171" w:themeColor="background2" w:themeShade="80"/>
          <w:sz w:val="26"/>
          <w:szCs w:val="26"/>
        </w:rPr>
        <w:t xml:space="preserve">del </w:t>
      </w:r>
      <w:r>
        <w:rPr>
          <w:rFonts w:ascii="Calibri" w:hAnsi="Calibri" w:cs="Calibri"/>
          <w:color w:val="767171" w:themeColor="background2" w:themeShade="80"/>
          <w:sz w:val="26"/>
          <w:szCs w:val="26"/>
        </w:rPr>
        <w:t xml:space="preserve">año 2018 dos mil dieciocho. </w:t>
      </w:r>
      <w:r w:rsidRPr="00894DC9">
        <w:rPr>
          <w:rFonts w:ascii="Calibri" w:hAnsi="Calibri" w:cs="Calibri"/>
          <w:color w:val="767171" w:themeColor="background2" w:themeShade="80"/>
          <w:sz w:val="26"/>
          <w:szCs w:val="26"/>
        </w:rPr>
        <w:t xml:space="preserve"> </w:t>
      </w:r>
    </w:p>
    <w:p w:rsidR="008070CD" w:rsidRPr="00894DC9" w:rsidRDefault="008070CD" w:rsidP="008070CD">
      <w:pPr>
        <w:rPr>
          <w:rFonts w:ascii="Calibri" w:hAnsi="Calibri" w:cs="Calibri"/>
          <w:color w:val="767171" w:themeColor="background2" w:themeShade="80"/>
          <w:sz w:val="22"/>
          <w:szCs w:val="26"/>
        </w:rPr>
      </w:pPr>
    </w:p>
    <w:p w:rsidR="008070CD" w:rsidRPr="00894DC9" w:rsidRDefault="008070CD" w:rsidP="008070CD">
      <w:pPr>
        <w:pStyle w:val="Textoindependiente"/>
        <w:ind w:firstLine="708"/>
        <w:rPr>
          <w:rFonts w:ascii="Calibri" w:hAnsi="Calibri" w:cs="Calibri"/>
          <w:color w:val="767171" w:themeColor="background2" w:themeShade="80"/>
          <w:sz w:val="26"/>
          <w:szCs w:val="26"/>
        </w:rPr>
      </w:pPr>
      <w:r w:rsidRPr="00894DC9">
        <w:rPr>
          <w:rFonts w:ascii="Calibri" w:hAnsi="Calibri" w:cs="Calibri"/>
          <w:b/>
          <w:bCs/>
          <w:i/>
          <w:iCs/>
          <w:color w:val="767171" w:themeColor="background2" w:themeShade="80"/>
          <w:sz w:val="26"/>
          <w:szCs w:val="26"/>
          <w:lang w:val="es-ES"/>
        </w:rPr>
        <w:t>V I S T O S</w:t>
      </w:r>
      <w:r w:rsidRPr="00894DC9">
        <w:rPr>
          <w:rFonts w:ascii="Calibri" w:hAnsi="Calibri" w:cs="Calibri"/>
          <w:bCs/>
          <w:iCs/>
          <w:color w:val="767171" w:themeColor="background2" w:themeShade="80"/>
          <w:sz w:val="26"/>
          <w:szCs w:val="26"/>
          <w:lang w:val="es-ES"/>
        </w:rPr>
        <w:t xml:space="preserve">, </w:t>
      </w:r>
      <w:r w:rsidRPr="00894DC9">
        <w:rPr>
          <w:rFonts w:ascii="Calibri" w:hAnsi="Calibri" w:cs="Calibri"/>
          <w:bCs/>
          <w:iCs/>
          <w:color w:val="767171" w:themeColor="background2" w:themeShade="80"/>
          <w:sz w:val="26"/>
          <w:szCs w:val="26"/>
        </w:rPr>
        <w:t>para dictar sentencia definitiva,</w:t>
      </w:r>
      <w:r w:rsidRPr="00894DC9">
        <w:rPr>
          <w:rFonts w:ascii="Calibri" w:hAnsi="Calibri" w:cs="Calibri"/>
          <w:color w:val="767171" w:themeColor="background2" w:themeShade="80"/>
          <w:sz w:val="26"/>
          <w:szCs w:val="26"/>
        </w:rPr>
        <w:t xml:space="preserve"> los autos del proceso administrativo identificado con el número </w:t>
      </w:r>
      <w:r w:rsidRPr="00894DC9">
        <w:rPr>
          <w:rFonts w:ascii="Calibri" w:hAnsi="Calibri" w:cs="Calibri"/>
          <w:b/>
          <w:color w:val="767171" w:themeColor="background2" w:themeShade="80"/>
          <w:sz w:val="26"/>
          <w:szCs w:val="26"/>
        </w:rPr>
        <w:t>806/2doJAM/2017-JN</w:t>
      </w:r>
      <w:r w:rsidRPr="00894DC9">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894DC9">
        <w:rPr>
          <w:rFonts w:ascii="Calibri" w:hAnsi="Calibri" w:cs="Calibri"/>
          <w:color w:val="767171" w:themeColor="background2" w:themeShade="80"/>
          <w:sz w:val="26"/>
          <w:szCs w:val="26"/>
        </w:rPr>
        <w:t>,</w:t>
      </w:r>
      <w:r w:rsidRPr="00894DC9">
        <w:rPr>
          <w:rFonts w:ascii="Calibri" w:hAnsi="Calibri" w:cs="Calibri"/>
          <w:b/>
          <w:bCs/>
          <w:iCs/>
          <w:color w:val="767171" w:themeColor="background2" w:themeShade="80"/>
          <w:sz w:val="26"/>
          <w:szCs w:val="26"/>
        </w:rPr>
        <w:t xml:space="preserve"> </w:t>
      </w:r>
      <w:r w:rsidRPr="00894DC9">
        <w:rPr>
          <w:rFonts w:ascii="Calibri" w:hAnsi="Calibri" w:cs="Calibri"/>
          <w:bCs/>
          <w:iCs/>
          <w:color w:val="767171" w:themeColor="background2" w:themeShade="80"/>
          <w:sz w:val="26"/>
          <w:szCs w:val="26"/>
        </w:rPr>
        <w:t xml:space="preserve">y, </w:t>
      </w:r>
      <w:r w:rsidRPr="00894DC9">
        <w:rPr>
          <w:rFonts w:ascii="Calibri" w:hAnsi="Calibri" w:cs="Calibri"/>
          <w:color w:val="767171" w:themeColor="background2" w:themeShade="80"/>
          <w:sz w:val="26"/>
          <w:szCs w:val="26"/>
        </w:rPr>
        <w:t xml:space="preserve">. . . . . . . . . . . . . . . . . . . . . . . . . . . . . . . </w:t>
      </w:r>
    </w:p>
    <w:p w:rsidR="008070CD" w:rsidRPr="00894DC9" w:rsidRDefault="008070CD" w:rsidP="008070CD">
      <w:pPr>
        <w:pStyle w:val="Textoindependiente"/>
        <w:rPr>
          <w:rFonts w:ascii="Calibri" w:hAnsi="Calibri" w:cs="Calibri"/>
          <w:color w:val="767171" w:themeColor="background2" w:themeShade="80"/>
          <w:sz w:val="22"/>
          <w:szCs w:val="26"/>
        </w:rPr>
      </w:pPr>
    </w:p>
    <w:p w:rsidR="008070CD" w:rsidRPr="00894DC9" w:rsidRDefault="008070CD" w:rsidP="008070CD">
      <w:pPr>
        <w:pStyle w:val="Textoindependiente"/>
        <w:ind w:firstLine="708"/>
        <w:rPr>
          <w:rFonts w:ascii="Calibri" w:hAnsi="Calibri" w:cs="Calibri"/>
          <w:color w:val="767171" w:themeColor="background2" w:themeShade="80"/>
          <w:sz w:val="22"/>
          <w:szCs w:val="26"/>
        </w:rPr>
      </w:pPr>
    </w:p>
    <w:p w:rsidR="008070CD" w:rsidRPr="00894DC9" w:rsidRDefault="008070CD" w:rsidP="008070CD">
      <w:pPr>
        <w:pStyle w:val="Textoindependiente"/>
        <w:ind w:firstLine="708"/>
        <w:jc w:val="center"/>
        <w:rPr>
          <w:rFonts w:ascii="Calibri" w:hAnsi="Calibri" w:cs="Calibri"/>
          <w:b/>
          <w:bCs/>
          <w:i/>
          <w:iCs/>
          <w:color w:val="767171" w:themeColor="background2" w:themeShade="80"/>
          <w:sz w:val="26"/>
          <w:szCs w:val="26"/>
        </w:rPr>
      </w:pPr>
      <w:r w:rsidRPr="00894DC9">
        <w:rPr>
          <w:rFonts w:ascii="Calibri" w:hAnsi="Calibri" w:cs="Calibri"/>
          <w:b/>
          <w:bCs/>
          <w:i/>
          <w:iCs/>
          <w:color w:val="767171" w:themeColor="background2" w:themeShade="80"/>
          <w:sz w:val="26"/>
          <w:szCs w:val="26"/>
        </w:rPr>
        <w:t>C O N S I D E R A N D O :</w:t>
      </w:r>
    </w:p>
    <w:p w:rsidR="008070CD" w:rsidRPr="00894DC9" w:rsidRDefault="008070CD" w:rsidP="008070CD">
      <w:pPr>
        <w:pStyle w:val="Textoindependiente"/>
        <w:ind w:firstLine="708"/>
        <w:jc w:val="center"/>
        <w:rPr>
          <w:rFonts w:ascii="Calibri" w:hAnsi="Calibri" w:cs="Calibri"/>
          <w:b/>
          <w:bCs/>
          <w:color w:val="767171" w:themeColor="background2" w:themeShade="80"/>
          <w:sz w:val="22"/>
          <w:szCs w:val="26"/>
        </w:rPr>
      </w:pPr>
    </w:p>
    <w:p w:rsidR="008070CD" w:rsidRPr="00894DC9" w:rsidRDefault="008070CD" w:rsidP="008070CD">
      <w:pPr>
        <w:pStyle w:val="Textoindependiente"/>
        <w:ind w:firstLine="708"/>
        <w:rPr>
          <w:rFonts w:ascii="Calibri" w:hAnsi="Calibri" w:cs="Calibri"/>
          <w:color w:val="767171" w:themeColor="background2" w:themeShade="80"/>
          <w:sz w:val="22"/>
          <w:szCs w:val="26"/>
        </w:rPr>
      </w:pPr>
    </w:p>
    <w:p w:rsidR="008070CD" w:rsidRPr="00894DC9" w:rsidRDefault="008070CD" w:rsidP="008070CD">
      <w:pPr>
        <w:pStyle w:val="Textoindependiente"/>
        <w:ind w:firstLine="708"/>
        <w:rPr>
          <w:rFonts w:ascii="Calibri" w:hAnsi="Calibri" w:cs="Calibri"/>
          <w:b/>
          <w:bCs/>
          <w:color w:val="767171" w:themeColor="background2" w:themeShade="80"/>
          <w:sz w:val="26"/>
          <w:szCs w:val="26"/>
        </w:rPr>
      </w:pPr>
      <w:r w:rsidRPr="00894DC9">
        <w:rPr>
          <w:rFonts w:ascii="Calibri" w:hAnsi="Calibri" w:cs="Calibri"/>
          <w:b/>
          <w:bCs/>
          <w:i/>
          <w:iCs/>
          <w:color w:val="767171" w:themeColor="background2" w:themeShade="80"/>
          <w:sz w:val="26"/>
          <w:szCs w:val="26"/>
        </w:rPr>
        <w:t>SEGUNDO</w:t>
      </w:r>
      <w:r w:rsidRPr="00894DC9">
        <w:rPr>
          <w:rFonts w:ascii="Calibri" w:hAnsi="Calibri" w:cs="Calibri"/>
          <w:b/>
          <w:bCs/>
          <w:color w:val="767171" w:themeColor="background2" w:themeShade="80"/>
          <w:sz w:val="26"/>
          <w:szCs w:val="26"/>
        </w:rPr>
        <w:t xml:space="preserve">.- </w:t>
      </w:r>
      <w:r w:rsidRPr="00894DC9">
        <w:rPr>
          <w:rFonts w:ascii="Calibri" w:hAnsi="Calibri" w:cs="Calibri"/>
          <w:color w:val="767171" w:themeColor="background2" w:themeShade="80"/>
          <w:sz w:val="26"/>
          <w:szCs w:val="26"/>
        </w:rPr>
        <w:t xml:space="preserve">La demanda fue presentada, conforme a lo establecido en el artículo 263 del Código de Procedimiento y Justicia Administrativa para el Estado y los Municipios de Guanajuato, dentro de los 30 treinta días hábiles siguientes a aquél en que el actor indicó le fue notificada el acta de infracción impugnada, lo que fue el día 21 veintiuno de junio del año pasado. . . . . . . . . . . . . . . . . . . . . . . . . . </w:t>
      </w:r>
    </w:p>
    <w:p w:rsidR="008070CD" w:rsidRPr="00894DC9" w:rsidRDefault="008070CD" w:rsidP="008070CD">
      <w:pPr>
        <w:pStyle w:val="Textoindependiente"/>
        <w:ind w:firstLine="708"/>
        <w:rPr>
          <w:rFonts w:ascii="Calibri" w:hAnsi="Calibri" w:cs="Calibri"/>
          <w:b/>
          <w:bCs/>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b/>
          <w:i/>
          <w:iCs/>
          <w:color w:val="767171" w:themeColor="background2" w:themeShade="80"/>
          <w:sz w:val="26"/>
          <w:szCs w:val="26"/>
        </w:rPr>
        <w:t xml:space="preserve">TERCERO.- </w:t>
      </w:r>
      <w:r w:rsidRPr="00894DC9">
        <w:rPr>
          <w:rFonts w:ascii="Calibri" w:hAnsi="Calibri" w:cs="Calibri"/>
          <w:color w:val="767171" w:themeColor="background2" w:themeShade="80"/>
          <w:sz w:val="26"/>
          <w:szCs w:val="26"/>
        </w:rPr>
        <w:t xml:space="preserve">La existencia del acto impugnado, el acta de infracción, con número T-5650060 (T guion cinco-seis-cinco-cero-cero-seis-cero), de fecha 21 veintiuno de junio del año 2017 dos mil diecisiete y su calificación realizada el 22 veintidós de ese mismo mes y año, se encuentra debidamente documentada en autos con los originales de dicha acta, que obra en el secreto de este juzgado y del recibo oficial de pago número AA 6809000 AA seis-ocho-cero-nueve-cero-cero-cero, (visibles, en copia certificada, a fojas 5 cinco y 6 seis); documentales que  merecen pleno valor probatorio, conforme lo dispuesto en los artículos 78, 117, 118, 121 y 131 del Código de Procedimiento y Justicia Administrativa para el </w:t>
      </w:r>
    </w:p>
    <w:p w:rsidR="008070CD" w:rsidRPr="00894DC9" w:rsidRDefault="008070CD" w:rsidP="008070CD">
      <w:pPr>
        <w:ind w:firstLine="708"/>
        <w:jc w:val="right"/>
        <w:rPr>
          <w:rFonts w:ascii="Calibri" w:hAnsi="Calibri" w:cs="Calibri"/>
          <w:b/>
          <w:color w:val="767171" w:themeColor="background2" w:themeShade="80"/>
          <w:sz w:val="26"/>
          <w:szCs w:val="26"/>
        </w:rPr>
      </w:pPr>
      <w:r w:rsidRPr="00894DC9">
        <w:rPr>
          <w:rFonts w:ascii="Calibri" w:hAnsi="Calibri" w:cs="Calibri"/>
          <w:b/>
          <w:color w:val="767171" w:themeColor="background2" w:themeShade="80"/>
          <w:sz w:val="26"/>
          <w:szCs w:val="26"/>
        </w:rPr>
        <w:t xml:space="preserve">Expediente número 806/2doJAM/2017-JN </w:t>
      </w:r>
    </w:p>
    <w:p w:rsidR="008070CD" w:rsidRPr="00894DC9" w:rsidRDefault="008070CD" w:rsidP="008070CD">
      <w:pPr>
        <w:ind w:firstLine="708"/>
        <w:jc w:val="both"/>
        <w:rPr>
          <w:rFonts w:ascii="Calibri" w:hAnsi="Calibri" w:cs="Calibri"/>
          <w:color w:val="767171" w:themeColor="background2" w:themeShade="80"/>
          <w:sz w:val="26"/>
          <w:szCs w:val="26"/>
        </w:rPr>
      </w:pPr>
    </w:p>
    <w:p w:rsidR="008070CD" w:rsidRPr="00894DC9" w:rsidRDefault="008070CD" w:rsidP="008070CD">
      <w:pPr>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Estado y los Municipios de Guanajuato, toda vez que el acta de infracción y el recibo oficial, constituyen documentos públicos, al ser expedidos por servidores públicos en el ejercicio de sus funciones; aunada la circunstancia de que, al contestar la demanda, el Agente enjuiciado </w:t>
      </w:r>
      <w:r w:rsidRPr="00894DC9">
        <w:rPr>
          <w:rFonts w:ascii="Calibri" w:hAnsi="Calibri" w:cs="Calibri"/>
          <w:b/>
          <w:color w:val="767171" w:themeColor="background2" w:themeShade="80"/>
          <w:sz w:val="26"/>
          <w:szCs w:val="26"/>
        </w:rPr>
        <w:t>reconoció</w:t>
      </w:r>
      <w:r w:rsidRPr="00894DC9">
        <w:rPr>
          <w:rFonts w:ascii="Calibri" w:hAnsi="Calibri" w:cs="Calibri"/>
          <w:color w:val="767171" w:themeColor="background2" w:themeShade="80"/>
          <w:sz w:val="26"/>
          <w:szCs w:val="26"/>
        </w:rPr>
        <w:t xml:space="preserve"> haber elaborado el acta de infracción combatida; lo que, sin duda, constituye una </w:t>
      </w:r>
      <w:r w:rsidRPr="00894DC9">
        <w:rPr>
          <w:rFonts w:ascii="Calibri" w:hAnsi="Calibri" w:cs="Calibri"/>
          <w:b/>
          <w:color w:val="767171" w:themeColor="background2" w:themeShade="80"/>
          <w:sz w:val="26"/>
          <w:szCs w:val="26"/>
        </w:rPr>
        <w:t>confesión expresa</w:t>
      </w:r>
      <w:r w:rsidRPr="00894DC9">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Pr="00894DC9">
        <w:rPr>
          <w:rFonts w:ascii="Calibri" w:hAnsi="Calibri" w:cs="Calibri"/>
          <w:color w:val="767171" w:themeColor="background2" w:themeShade="80"/>
          <w:sz w:val="26"/>
          <w:szCs w:val="26"/>
        </w:rPr>
        <w:t>. . . . . . . . . . . . . . . . . . . . . . . . . . . . . . . . . .  . . . . . . . . . . . . . . . . . . . .</w:t>
      </w:r>
    </w:p>
    <w:p w:rsidR="008070CD" w:rsidRPr="00894DC9" w:rsidRDefault="008070CD" w:rsidP="008070CD">
      <w:pPr>
        <w:jc w:val="both"/>
        <w:rPr>
          <w:rFonts w:ascii="Calibri" w:hAnsi="Calibri" w:cs="Calibri"/>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Por lo anterior, no queda duda alguna sobre la existencia de los actos impugnados. . . . . . . . . . . . . . . . . . . . . . . . . . . . . . . . . . . . . . . . . . . . . . . . . . . . . . . . . . . </w:t>
      </w:r>
    </w:p>
    <w:p w:rsidR="008070CD" w:rsidRPr="00894DC9" w:rsidRDefault="008070CD" w:rsidP="008070CD">
      <w:pPr>
        <w:jc w:val="both"/>
        <w:rPr>
          <w:rFonts w:ascii="Calibri" w:hAnsi="Calibri" w:cs="Calibri"/>
          <w:b/>
          <w:bCs/>
          <w:i/>
          <w:iCs/>
          <w:color w:val="767171" w:themeColor="background2" w:themeShade="80"/>
          <w:sz w:val="26"/>
          <w:szCs w:val="26"/>
        </w:rPr>
      </w:pPr>
    </w:p>
    <w:p w:rsidR="008070CD" w:rsidRPr="00894DC9" w:rsidRDefault="008070CD" w:rsidP="008070CD">
      <w:pPr>
        <w:ind w:firstLine="708"/>
        <w:jc w:val="both"/>
        <w:rPr>
          <w:rFonts w:ascii="Calibri" w:hAnsi="Calibri" w:cs="Calibri"/>
          <w:bCs/>
          <w:iCs/>
          <w:color w:val="767171" w:themeColor="background2" w:themeShade="80"/>
          <w:sz w:val="26"/>
          <w:szCs w:val="26"/>
        </w:rPr>
      </w:pPr>
      <w:r w:rsidRPr="00894DC9">
        <w:rPr>
          <w:rFonts w:ascii="Calibri" w:hAnsi="Calibri" w:cs="Calibri"/>
          <w:b/>
          <w:bCs/>
          <w:i/>
          <w:iCs/>
          <w:color w:val="767171" w:themeColor="background2" w:themeShade="80"/>
          <w:sz w:val="26"/>
          <w:szCs w:val="26"/>
        </w:rPr>
        <w:t xml:space="preserve">CUARTO.- </w:t>
      </w:r>
      <w:r w:rsidRPr="00894DC9">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r w:rsidRPr="00894DC9">
        <w:rPr>
          <w:rFonts w:ascii="Calibri" w:hAnsi="Calibri" w:cs="Calibri"/>
          <w:bCs/>
          <w:iCs/>
          <w:color w:val="767171" w:themeColor="background2" w:themeShade="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4DC9">
        <w:rPr>
          <w:rFonts w:ascii="Calibri" w:hAnsi="Calibri" w:cs="Calibri"/>
          <w:color w:val="767171" w:themeColor="background2" w:themeShade="80"/>
          <w:sz w:val="26"/>
          <w:szCs w:val="26"/>
        </w:rPr>
        <w:t xml:space="preserve">. . . . . . . . . . . . . . </w:t>
      </w:r>
    </w:p>
    <w:p w:rsidR="008070CD" w:rsidRPr="00894DC9" w:rsidRDefault="008070CD" w:rsidP="008070CD">
      <w:pPr>
        <w:jc w:val="both"/>
        <w:rPr>
          <w:rFonts w:ascii="Calibri" w:hAnsi="Calibri" w:cs="Calibri"/>
          <w:bCs/>
          <w:iCs/>
          <w:color w:val="767171" w:themeColor="background2" w:themeShade="80"/>
          <w:sz w:val="26"/>
          <w:szCs w:val="26"/>
        </w:rPr>
      </w:pPr>
    </w:p>
    <w:p w:rsidR="008070CD" w:rsidRPr="00894DC9" w:rsidRDefault="008070CD" w:rsidP="008070CD">
      <w:pPr>
        <w:ind w:firstLine="708"/>
        <w:jc w:val="both"/>
        <w:rPr>
          <w:rFonts w:ascii="Calibri" w:hAnsi="Calibri" w:cs="Calibri"/>
          <w:bCs/>
          <w:iCs/>
          <w:color w:val="767171" w:themeColor="background2" w:themeShade="80"/>
          <w:sz w:val="26"/>
          <w:szCs w:val="26"/>
        </w:rPr>
      </w:pPr>
      <w:r w:rsidRPr="00894DC9">
        <w:rPr>
          <w:rFonts w:ascii="Calibri" w:hAnsi="Calibri" w:cs="Calibri"/>
          <w:bCs/>
          <w:iCs/>
          <w:color w:val="767171" w:themeColor="background2" w:themeShade="80"/>
          <w:sz w:val="26"/>
          <w:szCs w:val="26"/>
        </w:rPr>
        <w:t xml:space="preserve">En el presente asunto, el Agente de Tránsito demandado, </w:t>
      </w:r>
      <w:r w:rsidRPr="00894DC9">
        <w:rPr>
          <w:rFonts w:ascii="Calibri" w:hAnsi="Calibri" w:cs="Calibri"/>
          <w:b/>
          <w:bCs/>
          <w:iCs/>
          <w:color w:val="767171" w:themeColor="background2" w:themeShade="80"/>
          <w:sz w:val="26"/>
          <w:szCs w:val="26"/>
        </w:rPr>
        <w:t>no planteó</w:t>
      </w:r>
      <w:r w:rsidRPr="00894DC9">
        <w:rPr>
          <w:rFonts w:ascii="Calibri" w:hAnsi="Calibri" w:cs="Calibri"/>
          <w:bCs/>
          <w:iCs/>
          <w:color w:val="767171" w:themeColor="background2" w:themeShade="80"/>
          <w:sz w:val="26"/>
          <w:szCs w:val="26"/>
        </w:rPr>
        <w:t xml:space="preserve"> ninguna causal de improcedencia o sobreseimiento; pero el Tesorero Municipal sí planteó una causal: la prevista en la fracción VI del artículo 261 del Código de Procedimiento y Justicia Administrativa, al referir que no emitió calificación alguna. </w:t>
      </w:r>
      <w:r w:rsidRPr="00894DC9">
        <w:rPr>
          <w:rFonts w:ascii="Calibri" w:hAnsi="Calibri" w:cs="Calibri"/>
          <w:color w:val="767171" w:themeColor="background2" w:themeShade="80"/>
          <w:sz w:val="26"/>
          <w:szCs w:val="26"/>
        </w:rPr>
        <w:t>. . . . . . . . . . . . . . . . . . . . . . . . . . . . . . . . . . . . . . . . . . . . . . . . . . . . . . . . . . . . . . .</w:t>
      </w:r>
    </w:p>
    <w:p w:rsidR="008070CD" w:rsidRPr="00894DC9" w:rsidRDefault="008070CD" w:rsidP="008070CD">
      <w:pPr>
        <w:ind w:firstLine="708"/>
        <w:jc w:val="both"/>
        <w:rPr>
          <w:rFonts w:ascii="Calibri" w:hAnsi="Calibri" w:cs="Calibri"/>
          <w:bCs/>
          <w:iCs/>
          <w:color w:val="767171" w:themeColor="background2" w:themeShade="80"/>
          <w:sz w:val="26"/>
          <w:szCs w:val="26"/>
        </w:rPr>
      </w:pPr>
    </w:p>
    <w:p w:rsidR="008070CD" w:rsidRPr="00894DC9" w:rsidRDefault="008070CD" w:rsidP="008070CD">
      <w:pPr>
        <w:ind w:firstLine="708"/>
        <w:jc w:val="both"/>
        <w:rPr>
          <w:rFonts w:ascii="Calibri" w:hAnsi="Calibri" w:cs="Calibri"/>
          <w:bCs/>
          <w:iCs/>
          <w:color w:val="767171" w:themeColor="background2" w:themeShade="80"/>
          <w:sz w:val="26"/>
          <w:szCs w:val="26"/>
        </w:rPr>
      </w:pPr>
      <w:r w:rsidRPr="00894DC9">
        <w:rPr>
          <w:rFonts w:ascii="Calibri" w:hAnsi="Calibri" w:cs="Calibri"/>
          <w:bCs/>
          <w:iCs/>
          <w:color w:val="767171" w:themeColor="background2" w:themeShade="80"/>
          <w:sz w:val="26"/>
          <w:szCs w:val="26"/>
        </w:rPr>
        <w:t xml:space="preserve">Causal de improcedencia que </w:t>
      </w:r>
      <w:r w:rsidRPr="00894DC9">
        <w:rPr>
          <w:rFonts w:ascii="Calibri" w:hAnsi="Calibri" w:cs="Calibri"/>
          <w:b/>
          <w:bCs/>
          <w:iCs/>
          <w:color w:val="767171" w:themeColor="background2" w:themeShade="80"/>
          <w:sz w:val="26"/>
          <w:szCs w:val="26"/>
        </w:rPr>
        <w:t>no se configura</w:t>
      </w:r>
      <w:r w:rsidRPr="00894DC9">
        <w:rPr>
          <w:rFonts w:ascii="Calibri" w:hAnsi="Calibri" w:cs="Calibri"/>
          <w:bCs/>
          <w:iCs/>
          <w:color w:val="767171" w:themeColor="background2" w:themeShade="80"/>
          <w:sz w:val="26"/>
          <w:szCs w:val="26"/>
        </w:rPr>
        <w:t xml:space="preserve">; toda vez que el acto impugnado atribuido a dicha dependencia municipal </w:t>
      </w:r>
      <w:r w:rsidRPr="00894DC9">
        <w:rPr>
          <w:rFonts w:ascii="Calibri" w:hAnsi="Calibri" w:cs="Calibri"/>
          <w:b/>
          <w:bCs/>
          <w:iCs/>
          <w:color w:val="767171" w:themeColor="background2" w:themeShade="80"/>
          <w:sz w:val="26"/>
          <w:szCs w:val="26"/>
        </w:rPr>
        <w:t xml:space="preserve">sí existe </w:t>
      </w:r>
      <w:r w:rsidRPr="00894DC9">
        <w:rPr>
          <w:rFonts w:ascii="Calibri" w:hAnsi="Calibri" w:cs="Calibri"/>
          <w:bCs/>
          <w:iCs/>
          <w:color w:val="767171" w:themeColor="background2" w:themeShade="80"/>
          <w:sz w:val="26"/>
          <w:szCs w:val="26"/>
        </w:rPr>
        <w:t>y</w:t>
      </w:r>
      <w:r w:rsidRPr="00894DC9">
        <w:rPr>
          <w:rFonts w:ascii="Calibri" w:hAnsi="Calibri" w:cs="Calibri"/>
          <w:b/>
          <w:bCs/>
          <w:iCs/>
          <w:color w:val="767171" w:themeColor="background2" w:themeShade="80"/>
          <w:sz w:val="26"/>
          <w:szCs w:val="26"/>
        </w:rPr>
        <w:t xml:space="preserve"> afecta al justiciable en sus derechos </w:t>
      </w:r>
      <w:r w:rsidRPr="00894DC9">
        <w:rPr>
          <w:rFonts w:ascii="Calibri" w:hAnsi="Calibri" w:cs="Calibri"/>
          <w:bCs/>
          <w:iCs/>
          <w:color w:val="767171" w:themeColor="background2" w:themeShade="80"/>
          <w:sz w:val="26"/>
          <w:szCs w:val="26"/>
        </w:rPr>
        <w:t xml:space="preserve">y </w:t>
      </w:r>
      <w:r w:rsidRPr="00894DC9">
        <w:rPr>
          <w:rFonts w:ascii="Calibri" w:hAnsi="Calibri" w:cs="Calibri"/>
          <w:b/>
          <w:bCs/>
          <w:iCs/>
          <w:color w:val="767171" w:themeColor="background2" w:themeShade="80"/>
          <w:sz w:val="26"/>
          <w:szCs w:val="26"/>
        </w:rPr>
        <w:t xml:space="preserve">patrimonio; </w:t>
      </w:r>
      <w:r w:rsidRPr="00894DC9">
        <w:rPr>
          <w:rFonts w:ascii="Calibri" w:hAnsi="Calibri" w:cs="Calibri"/>
          <w:bCs/>
          <w:iCs/>
          <w:color w:val="767171" w:themeColor="background2" w:themeShade="80"/>
          <w:sz w:val="26"/>
          <w:szCs w:val="26"/>
        </w:rPr>
        <w:t xml:space="preserve">pues dicho acto lo es la resolución mediante la cual se calificó una infracción de tránsito, imponiendo como sanción dos multas; calificación </w:t>
      </w:r>
      <w:r w:rsidRPr="00894DC9">
        <w:rPr>
          <w:rFonts w:ascii="Calibri" w:hAnsi="Calibri"/>
          <w:color w:val="767171" w:themeColor="background2" w:themeShade="80"/>
          <w:sz w:val="26"/>
          <w:szCs w:val="26"/>
        </w:rPr>
        <w:t xml:space="preserve">cuya existencia se encuentra plenamente acreditada con el recibo oficial con número </w:t>
      </w:r>
      <w:r w:rsidRPr="00894DC9">
        <w:rPr>
          <w:rFonts w:ascii="Calibri" w:hAnsi="Calibri" w:cs="Calibri"/>
          <w:color w:val="767171" w:themeColor="background2" w:themeShade="80"/>
          <w:sz w:val="26"/>
          <w:szCs w:val="26"/>
        </w:rPr>
        <w:t xml:space="preserve">de folio AA 6809000 AA seis-ocho-cero-nueve-cero-cero-cero, por la cantidad de $343.48 (Trescientos cuarenta y tres pesos 48/100 Moneda Nacional), </w:t>
      </w:r>
      <w:r w:rsidRPr="00894DC9">
        <w:rPr>
          <w:rFonts w:ascii="Calibri" w:hAnsi="Calibri"/>
          <w:color w:val="767171" w:themeColor="background2" w:themeShade="80"/>
          <w:sz w:val="26"/>
          <w:szCs w:val="26"/>
        </w:rPr>
        <w:t xml:space="preserve">y que relacionado con lo que establece el artículo </w:t>
      </w:r>
      <w:r w:rsidRPr="00894DC9">
        <w:rPr>
          <w:rFonts w:ascii="Calibri" w:hAnsi="Calibri" w:cs="Calibri"/>
          <w:bCs/>
          <w:iCs/>
          <w:color w:val="767171" w:themeColor="background2" w:themeShade="80"/>
          <w:sz w:val="26"/>
          <w:szCs w:val="26"/>
        </w:rPr>
        <w:t>49 del Reglamento de Tránsito Municipal de León, Guanajuato; que a la letra señala:</w:t>
      </w:r>
      <w:r w:rsidRPr="00894DC9">
        <w:rPr>
          <w:rFonts w:ascii="Calibri" w:hAnsi="Calibri" w:cs="Calibri"/>
          <w:bCs/>
          <w:i/>
          <w:iCs/>
          <w:color w:val="767171" w:themeColor="background2" w:themeShade="80"/>
          <w:sz w:val="26"/>
          <w:szCs w:val="26"/>
        </w:rPr>
        <w:t xml:space="preserve"> “Artículo 49.- La Dirección General de Tránsito Municipal y la </w:t>
      </w:r>
      <w:r w:rsidRPr="00894DC9">
        <w:rPr>
          <w:rFonts w:ascii="Calibri" w:hAnsi="Calibri" w:cs="Calibri"/>
          <w:bCs/>
          <w:i/>
          <w:iCs/>
          <w:color w:val="767171" w:themeColor="background2" w:themeShade="80"/>
          <w:sz w:val="26"/>
          <w:szCs w:val="26"/>
          <w:u w:val="single"/>
        </w:rPr>
        <w:t>Tesorería Municipal</w:t>
      </w:r>
      <w:r w:rsidRPr="00894DC9">
        <w:rPr>
          <w:rFonts w:ascii="Calibri" w:hAnsi="Calibri" w:cs="Calibri"/>
          <w:bCs/>
          <w:i/>
          <w:iCs/>
          <w:color w:val="767171" w:themeColor="background2" w:themeShade="80"/>
          <w:sz w:val="26"/>
          <w:szCs w:val="26"/>
        </w:rPr>
        <w:t xml:space="preserve">, indistintamente, </w:t>
      </w:r>
      <w:r w:rsidRPr="00894DC9">
        <w:rPr>
          <w:rFonts w:ascii="Calibri" w:hAnsi="Calibri" w:cs="Calibri"/>
          <w:bCs/>
          <w:i/>
          <w:iCs/>
          <w:color w:val="767171" w:themeColor="background2" w:themeShade="80"/>
          <w:sz w:val="26"/>
          <w:szCs w:val="26"/>
          <w:u w:val="single"/>
        </w:rPr>
        <w:t>calificarán las infracciones contenidas en el presente reglamento</w:t>
      </w:r>
      <w:r w:rsidRPr="00894DC9">
        <w:rPr>
          <w:rFonts w:ascii="Calibri" w:hAnsi="Calibri" w:cs="Calibri"/>
          <w:bCs/>
          <w:i/>
          <w:iCs/>
          <w:color w:val="767171" w:themeColor="background2" w:themeShade="80"/>
          <w:sz w:val="26"/>
          <w:szCs w:val="26"/>
        </w:rPr>
        <w:t>; salvo en el supuesto a que se refieren los artículos 35 y 36  de este ordenamiento, que lo hará la Dirección de Oficiales Calificadores.”</w:t>
      </w:r>
      <w:r w:rsidRPr="00894DC9">
        <w:rPr>
          <w:rFonts w:ascii="Calibri" w:hAnsi="Calibri" w:cs="Calibri"/>
          <w:bCs/>
          <w:iCs/>
          <w:color w:val="767171" w:themeColor="background2" w:themeShade="80"/>
          <w:sz w:val="26"/>
          <w:szCs w:val="26"/>
        </w:rPr>
        <w:t xml:space="preserve"> (Lo subrayado es nuestro); no deja lugar a dudas que tanto la Dirección General de Tránsito como la Tesorería municipal, pueden calificar las infracciones al Reglamento de Tránsito citado; lo que con fundamento en los artículos 109, 112 y 130 del Código de Procedimiento y Justicia Administrativa en vigor en el Estado, </w:t>
      </w:r>
      <w:r w:rsidRPr="00894DC9">
        <w:rPr>
          <w:rFonts w:ascii="Calibri" w:hAnsi="Calibri" w:cs="Calibri"/>
          <w:b/>
          <w:bCs/>
          <w:iCs/>
          <w:color w:val="767171" w:themeColor="background2" w:themeShade="80"/>
          <w:sz w:val="26"/>
          <w:szCs w:val="26"/>
          <w:u w:val="single"/>
        </w:rPr>
        <w:t>crea la presunción legal y humana de que la calificación impugnada fue efectuada por alguna de esas dependencias municipales</w:t>
      </w:r>
      <w:r w:rsidRPr="00894DC9">
        <w:rPr>
          <w:rFonts w:ascii="Calibri" w:hAnsi="Calibri" w:cs="Calibri"/>
          <w:bCs/>
          <w:iCs/>
          <w:color w:val="767171" w:themeColor="background2" w:themeShade="80"/>
          <w:sz w:val="26"/>
          <w:szCs w:val="26"/>
        </w:rPr>
        <w:t xml:space="preserve">. Presunciones a las que se les otorga pleno valor probatorio pues de ninguna forma son destruidas, de ahí que se considere que no se actualiza la causal de improcedencia invocada. . . . . . . . . . . . . </w:t>
      </w:r>
    </w:p>
    <w:p w:rsidR="008070CD" w:rsidRPr="00894DC9" w:rsidRDefault="008070CD" w:rsidP="008070CD">
      <w:pPr>
        <w:ind w:firstLine="708"/>
        <w:jc w:val="both"/>
        <w:rPr>
          <w:rFonts w:ascii="Calibri" w:hAnsi="Calibri" w:cs="Calibri"/>
          <w:b/>
          <w:bCs/>
          <w:iCs/>
          <w:color w:val="767171" w:themeColor="background2" w:themeShade="80"/>
          <w:sz w:val="26"/>
          <w:szCs w:val="26"/>
        </w:rPr>
      </w:pPr>
    </w:p>
    <w:p w:rsidR="008070CD" w:rsidRPr="00894DC9" w:rsidRDefault="008070CD" w:rsidP="008070CD">
      <w:pPr>
        <w:ind w:firstLine="708"/>
        <w:jc w:val="both"/>
        <w:rPr>
          <w:rFonts w:ascii="Calibri" w:hAnsi="Calibri" w:cs="Calibri"/>
          <w:bCs/>
          <w:iCs/>
          <w:color w:val="767171" w:themeColor="background2" w:themeShade="80"/>
          <w:sz w:val="26"/>
          <w:szCs w:val="26"/>
        </w:rPr>
      </w:pPr>
      <w:r w:rsidRPr="00894DC9">
        <w:rPr>
          <w:rFonts w:ascii="Calibri" w:hAnsi="Calibri" w:cs="Calibri"/>
          <w:bCs/>
          <w:iCs/>
          <w:color w:val="767171" w:themeColor="background2" w:themeShade="80"/>
          <w:sz w:val="26"/>
          <w:szCs w:val="26"/>
        </w:rPr>
        <w:t xml:space="preserve">Asimismo, para quien resuelve, es un hecho notorio y público, que la autoridad que en cada caso individualiza la sanción relativa a las infracciones al Reglamento de Tránsito Municipal en vigor en este Municipio de León, Guanajuato, es la Tesorería Municipal al expedir el recibo, como el que aportó la parte actora a su demanda, </w:t>
      </w:r>
      <w:r w:rsidRPr="00894DC9">
        <w:rPr>
          <w:rFonts w:ascii="Calibri" w:hAnsi="Calibri"/>
          <w:color w:val="767171" w:themeColor="background2" w:themeShade="80"/>
          <w:sz w:val="26"/>
          <w:szCs w:val="26"/>
        </w:rPr>
        <w:t xml:space="preserve"> </w:t>
      </w:r>
      <w:r w:rsidRPr="00894DC9">
        <w:rPr>
          <w:rFonts w:ascii="Calibri" w:hAnsi="Calibri" w:cs="Calibri"/>
          <w:bCs/>
          <w:iCs/>
          <w:color w:val="767171" w:themeColor="background2" w:themeShade="80"/>
          <w:sz w:val="26"/>
          <w:szCs w:val="26"/>
        </w:rPr>
        <w:t>ello en virtud de que los ciudadanos concurren a las cajas, oficinas o módulos de dicha Dependencia para informarse sobre las infracciones de tránsito y, en su caso, efectuar el pago de la cantidad que se les indique. . . . . . . . . . . . . . . . . . . . . . . . . . . . . . . . . . . . . . . . . . . . . . . . . . . . . . . . . . . . . . .</w:t>
      </w:r>
    </w:p>
    <w:p w:rsidR="008070CD" w:rsidRPr="00894DC9" w:rsidRDefault="008070CD" w:rsidP="008070CD">
      <w:pPr>
        <w:jc w:val="both"/>
        <w:rPr>
          <w:rFonts w:ascii="Calibri" w:hAnsi="Calibri" w:cs="Calibri"/>
          <w:bCs/>
          <w:iCs/>
          <w:color w:val="767171" w:themeColor="background2" w:themeShade="80"/>
          <w:sz w:val="26"/>
          <w:szCs w:val="26"/>
        </w:rPr>
      </w:pPr>
    </w:p>
    <w:p w:rsidR="008070CD" w:rsidRPr="00894DC9" w:rsidRDefault="008070CD" w:rsidP="008070CD">
      <w:pPr>
        <w:ind w:firstLine="708"/>
        <w:jc w:val="both"/>
        <w:rPr>
          <w:rFonts w:ascii="Calibri" w:hAnsi="Calibri" w:cs="Calibri"/>
          <w:bCs/>
          <w:iCs/>
          <w:color w:val="767171" w:themeColor="background2" w:themeShade="80"/>
          <w:sz w:val="26"/>
          <w:szCs w:val="26"/>
        </w:rPr>
      </w:pPr>
      <w:r w:rsidRPr="00894DC9">
        <w:rPr>
          <w:rFonts w:ascii="Calibri" w:hAnsi="Calibri" w:cs="Calibri"/>
          <w:bCs/>
          <w:iCs/>
          <w:color w:val="767171" w:themeColor="background2" w:themeShade="80"/>
          <w:sz w:val="26"/>
          <w:szCs w:val="26"/>
        </w:rPr>
        <w:t xml:space="preserve">Así las cosas, no habiendo planteado el Tesorero, alguna otra causal de improcedencia o sobreseimiento; y advirtiéndose, de oficio, por este Juzgador, que no se actualiza ninguna causa que impida el estudio de fondo de la presente causa administrativa, en cuanto al acto impugnado consistente en la boleta y en la resolución por la que se calificó la falta; por lo que en consecuencia es procedente el presente proceso respecto de esos actos impugnados. . . . . . . . . . . </w:t>
      </w:r>
    </w:p>
    <w:p w:rsidR="008070CD" w:rsidRPr="00894DC9" w:rsidRDefault="008070CD" w:rsidP="008070CD">
      <w:pPr>
        <w:pStyle w:val="Textoindependiente"/>
        <w:rPr>
          <w:rFonts w:ascii="Calibri" w:hAnsi="Calibri" w:cs="Calibri"/>
          <w:color w:val="767171" w:themeColor="background2" w:themeShade="80"/>
          <w:sz w:val="22"/>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b/>
          <w:bCs/>
          <w:i/>
          <w:iCs/>
          <w:color w:val="767171" w:themeColor="background2" w:themeShade="80"/>
          <w:sz w:val="26"/>
          <w:szCs w:val="26"/>
        </w:rPr>
        <w:t xml:space="preserve">QUINTO.- </w:t>
      </w:r>
      <w:r w:rsidRPr="00894DC9">
        <w:rPr>
          <w:rFonts w:ascii="Calibri" w:hAnsi="Calibri" w:cs="Calibri"/>
          <w:bCs/>
          <w:iCs/>
          <w:color w:val="767171" w:themeColor="background2" w:themeShade="80"/>
          <w:sz w:val="26"/>
          <w:szCs w:val="26"/>
        </w:rPr>
        <w:t>Previamente al análisis del planteamiento de fondo formulado por el demandante, es</w:t>
      </w:r>
      <w:r w:rsidRPr="00894DC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070CD" w:rsidRPr="00894DC9" w:rsidRDefault="008070CD" w:rsidP="008070CD">
      <w:pPr>
        <w:ind w:firstLine="708"/>
        <w:jc w:val="both"/>
        <w:rPr>
          <w:rFonts w:ascii="Calibri" w:hAnsi="Calibri" w:cs="Calibri"/>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894DC9">
        <w:rPr>
          <w:rFonts w:ascii="Calibri" w:hAnsi="Calibri" w:cs="Calibri"/>
          <w:color w:val="767171" w:themeColor="background2" w:themeShade="80"/>
          <w:sz w:val="26"/>
          <w:szCs w:val="26"/>
        </w:rPr>
        <w:t xml:space="preserve">, con fecha 21 veintiuno de junio del año 2017 dos mil diecisiete, levantó al ciudadano </w:t>
      </w:r>
      <w:r>
        <w:rPr>
          <w:rFonts w:ascii="Calibri" w:hAnsi="Calibri" w:cs="Calibri"/>
          <w:color w:val="767171" w:themeColor="background2" w:themeShade="80"/>
          <w:sz w:val="26"/>
          <w:szCs w:val="26"/>
        </w:rPr>
        <w:t>*****</w:t>
      </w:r>
      <w:r w:rsidRPr="00894DC9">
        <w:rPr>
          <w:rFonts w:ascii="Calibri" w:hAnsi="Calibri" w:cs="Calibri"/>
          <w:color w:val="767171" w:themeColor="background2" w:themeShade="80"/>
          <w:sz w:val="26"/>
          <w:szCs w:val="26"/>
        </w:rPr>
        <w:t xml:space="preserve">, el acta de infracción con número T-5650060 (T guion cinco-seis-cinco-cero-cero-seis-cero), de fecha 21 veintiuno de junio del año 2017 dos mil diecisiete; en el lugar ubicado en </w:t>
      </w:r>
      <w:r w:rsidRPr="00894DC9">
        <w:rPr>
          <w:rFonts w:ascii="Calibri" w:hAnsi="Calibri" w:cs="Calibri"/>
          <w:i/>
          <w:iCs/>
          <w:color w:val="767171" w:themeColor="background2" w:themeShade="80"/>
          <w:sz w:val="26"/>
          <w:szCs w:val="26"/>
        </w:rPr>
        <w:t>“Luz y Hermosillo”</w:t>
      </w:r>
      <w:r w:rsidRPr="00894DC9">
        <w:rPr>
          <w:rFonts w:ascii="Calibri" w:hAnsi="Calibri" w:cs="Calibri"/>
          <w:color w:val="767171" w:themeColor="background2" w:themeShade="80"/>
          <w:sz w:val="26"/>
          <w:szCs w:val="26"/>
        </w:rPr>
        <w:t xml:space="preserve">; de la Colonia </w:t>
      </w:r>
      <w:r w:rsidRPr="00894DC9">
        <w:rPr>
          <w:rFonts w:ascii="Calibri" w:hAnsi="Calibri" w:cs="Calibri"/>
          <w:i/>
          <w:color w:val="767171" w:themeColor="background2" w:themeShade="80"/>
          <w:sz w:val="26"/>
          <w:szCs w:val="26"/>
        </w:rPr>
        <w:t xml:space="preserve">“Killian” </w:t>
      </w:r>
      <w:r w:rsidRPr="00894DC9">
        <w:rPr>
          <w:rFonts w:ascii="Calibri" w:hAnsi="Calibri" w:cs="Calibri"/>
          <w:color w:val="767171" w:themeColor="background2" w:themeShade="80"/>
          <w:sz w:val="26"/>
          <w:szCs w:val="26"/>
        </w:rPr>
        <w:t>de esta ciudad</w:t>
      </w:r>
      <w:r w:rsidRPr="00894DC9">
        <w:rPr>
          <w:rFonts w:ascii="Calibri" w:hAnsi="Calibri" w:cs="Calibri"/>
          <w:i/>
          <w:color w:val="767171" w:themeColor="background2" w:themeShade="80"/>
          <w:sz w:val="26"/>
          <w:szCs w:val="26"/>
        </w:rPr>
        <w:t xml:space="preserve">; </w:t>
      </w:r>
      <w:r w:rsidRPr="00894DC9">
        <w:rPr>
          <w:rFonts w:ascii="Calibri" w:hAnsi="Calibri" w:cs="Calibri"/>
          <w:color w:val="767171" w:themeColor="background2" w:themeShade="80"/>
          <w:sz w:val="26"/>
          <w:szCs w:val="26"/>
        </w:rPr>
        <w:t xml:space="preserve">con sentido de orientación de </w:t>
      </w:r>
      <w:r w:rsidRPr="00894DC9">
        <w:rPr>
          <w:rFonts w:ascii="Calibri" w:hAnsi="Calibri" w:cs="Calibri"/>
          <w:i/>
          <w:color w:val="767171" w:themeColor="background2" w:themeShade="80"/>
          <w:sz w:val="26"/>
          <w:szCs w:val="26"/>
        </w:rPr>
        <w:t>“oriente a poniente”</w:t>
      </w:r>
      <w:r w:rsidRPr="00894DC9">
        <w:rPr>
          <w:rFonts w:ascii="Calibri" w:hAnsi="Calibri" w:cs="Calibri"/>
          <w:color w:val="767171" w:themeColor="background2" w:themeShade="80"/>
          <w:sz w:val="26"/>
          <w:szCs w:val="26"/>
        </w:rPr>
        <w:t xml:space="preserve">; señalando como motivos: </w:t>
      </w:r>
      <w:r w:rsidRPr="00894DC9">
        <w:rPr>
          <w:rFonts w:ascii="Calibri" w:hAnsi="Calibri" w:cs="Calibri"/>
          <w:i/>
          <w:iCs/>
          <w:color w:val="767171" w:themeColor="background2" w:themeShade="80"/>
          <w:sz w:val="26"/>
          <w:szCs w:val="26"/>
        </w:rPr>
        <w:t xml:space="preserve">“Por no respetar los señalamientos oficiales de Tránsito” y “Por no portar licencia de conducir”; </w:t>
      </w:r>
      <w:r w:rsidRPr="00894DC9">
        <w:rPr>
          <w:rFonts w:ascii="Calibri" w:hAnsi="Calibri" w:cs="Calibri"/>
          <w:iCs/>
          <w:color w:val="767171" w:themeColor="background2" w:themeShade="80"/>
          <w:sz w:val="26"/>
          <w:szCs w:val="26"/>
        </w:rPr>
        <w:t>como</w:t>
      </w:r>
      <w:r w:rsidRPr="00894DC9">
        <w:rPr>
          <w:rFonts w:ascii="Calibri" w:hAnsi="Calibri" w:cs="Calibri"/>
          <w:i/>
          <w:iCs/>
          <w:color w:val="767171" w:themeColor="background2" w:themeShade="80"/>
          <w:sz w:val="26"/>
          <w:szCs w:val="26"/>
        </w:rPr>
        <w:t xml:space="preserve"> </w:t>
      </w:r>
      <w:r w:rsidRPr="00894DC9">
        <w:rPr>
          <w:rFonts w:ascii="Calibri" w:hAnsi="Calibri" w:cs="Calibri"/>
          <w:iCs/>
          <w:color w:val="767171" w:themeColor="background2" w:themeShade="80"/>
          <w:sz w:val="26"/>
          <w:szCs w:val="26"/>
        </w:rPr>
        <w:t xml:space="preserve">referencia escribió: </w:t>
      </w:r>
      <w:r w:rsidRPr="00894DC9">
        <w:rPr>
          <w:rFonts w:ascii="Calibri" w:hAnsi="Calibri" w:cs="Calibri"/>
          <w:i/>
          <w:iCs/>
          <w:color w:val="767171" w:themeColor="background2" w:themeShade="80"/>
          <w:sz w:val="26"/>
          <w:szCs w:val="26"/>
        </w:rPr>
        <w:t>“Luz y Hermosillo”</w:t>
      </w:r>
      <w:r w:rsidRPr="00894DC9">
        <w:rPr>
          <w:rFonts w:ascii="Calibri" w:hAnsi="Calibri" w:cs="Calibri"/>
          <w:iCs/>
          <w:color w:val="767171" w:themeColor="background2" w:themeShade="80"/>
          <w:sz w:val="26"/>
          <w:szCs w:val="26"/>
        </w:rPr>
        <w:t xml:space="preserve">, y en el espacio destinado para anotar la ubicación del señalamiento vial oficial, escribió: </w:t>
      </w:r>
      <w:r w:rsidRPr="00894DC9">
        <w:rPr>
          <w:rFonts w:ascii="Calibri" w:hAnsi="Calibri" w:cs="Calibri"/>
          <w:i/>
          <w:iCs/>
          <w:color w:val="767171" w:themeColor="background2" w:themeShade="80"/>
          <w:sz w:val="26"/>
          <w:szCs w:val="26"/>
        </w:rPr>
        <w:t>“sobre banqueta en poste Luz y Quiroga”</w:t>
      </w:r>
      <w:r w:rsidRPr="00894DC9">
        <w:rPr>
          <w:rFonts w:ascii="Calibri" w:hAnsi="Calibri" w:cs="Calibri"/>
          <w:iCs/>
          <w:color w:val="767171" w:themeColor="background2" w:themeShade="80"/>
          <w:sz w:val="26"/>
          <w:szCs w:val="26"/>
        </w:rPr>
        <w:t xml:space="preserve">; en tanto que en el destinado para describir como fue detectada en flagrancia la infracción, escribió: </w:t>
      </w:r>
      <w:r w:rsidRPr="00894DC9">
        <w:rPr>
          <w:rFonts w:ascii="Calibri" w:hAnsi="Calibri" w:cs="Calibri"/>
          <w:i/>
          <w:iCs/>
          <w:color w:val="767171" w:themeColor="background2" w:themeShade="80"/>
          <w:sz w:val="26"/>
          <w:szCs w:val="26"/>
        </w:rPr>
        <w:t xml:space="preserve">“sobre mi recorrido se detecta vehículo antes mencionado circulando sobre la calle Luz infringiendo el artículo 7 fracción IV del  y 7 fracción I del Reglamento de tránsito…..”; </w:t>
      </w:r>
      <w:r w:rsidRPr="00894DC9">
        <w:rPr>
          <w:rFonts w:ascii="Calibri" w:hAnsi="Calibri" w:cs="Calibri"/>
          <w:color w:val="767171" w:themeColor="background2" w:themeShade="80"/>
          <w:sz w:val="26"/>
          <w:szCs w:val="26"/>
        </w:rPr>
        <w:t xml:space="preserve">recogiendo en garantía del pago de la infracción, una de las placas de circulación del vehículo que era conducido por el justiciable; según consta en el cuerpo del acta materia de la </w:t>
      </w:r>
      <w:r w:rsidRPr="00894DC9">
        <w:rPr>
          <w:rFonts w:ascii="Calibri" w:hAnsi="Calibri" w:cs="Calibri"/>
          <w:i/>
          <w:color w:val="767171" w:themeColor="background2" w:themeShade="80"/>
          <w:sz w:val="26"/>
          <w:szCs w:val="26"/>
        </w:rPr>
        <w:t>“litis”</w:t>
      </w:r>
      <w:r w:rsidRPr="00894DC9">
        <w:rPr>
          <w:rFonts w:ascii="Calibri" w:hAnsi="Calibri" w:cs="Calibri"/>
          <w:color w:val="767171" w:themeColor="background2" w:themeShade="80"/>
          <w:sz w:val="26"/>
          <w:szCs w:val="26"/>
        </w:rPr>
        <w:t xml:space="preserve"> . . . . . . . . . . . </w:t>
      </w:r>
    </w:p>
    <w:p w:rsidR="008070CD" w:rsidRPr="00894DC9" w:rsidRDefault="008070CD" w:rsidP="008070CD">
      <w:pPr>
        <w:ind w:firstLine="708"/>
        <w:jc w:val="both"/>
        <w:rPr>
          <w:rFonts w:ascii="Calibri" w:hAnsi="Calibri" w:cs="Calibri"/>
          <w:color w:val="767171" w:themeColor="background2" w:themeShade="80"/>
          <w:sz w:val="26"/>
          <w:szCs w:val="26"/>
        </w:rPr>
      </w:pPr>
    </w:p>
    <w:p w:rsidR="008070CD" w:rsidRPr="00894DC9" w:rsidRDefault="008070CD" w:rsidP="008070CD">
      <w:pPr>
        <w:ind w:firstLine="708"/>
        <w:jc w:val="both"/>
        <w:rPr>
          <w:rFonts w:ascii="Calibri" w:hAnsi="Calibri" w:cs="Calibri"/>
          <w:iCs/>
          <w:color w:val="767171" w:themeColor="background2" w:themeShade="80"/>
          <w:sz w:val="26"/>
          <w:szCs w:val="26"/>
        </w:rPr>
      </w:pPr>
      <w:r w:rsidRPr="00894DC9">
        <w:rPr>
          <w:rFonts w:ascii="Calibri" w:hAnsi="Calibri" w:cs="Calibri"/>
          <w:color w:val="767171" w:themeColor="background2" w:themeShade="80"/>
          <w:sz w:val="26"/>
          <w:szCs w:val="26"/>
        </w:rPr>
        <w:t xml:space="preserve">Acta de </w:t>
      </w:r>
      <w:r w:rsidRPr="00894DC9">
        <w:rPr>
          <w:rFonts w:ascii="Calibri" w:hAnsi="Calibri" w:cs="Calibri"/>
          <w:iCs/>
          <w:color w:val="767171" w:themeColor="background2" w:themeShade="80"/>
          <w:sz w:val="26"/>
          <w:szCs w:val="26"/>
        </w:rPr>
        <w:t xml:space="preserve">infracción que posteriormente fue calificada, imponiendo dos multas por las cantidades de </w:t>
      </w:r>
      <w:r w:rsidRPr="00894DC9">
        <w:rPr>
          <w:rFonts w:ascii="Calibri" w:hAnsi="Calibri" w:cs="Calibri"/>
          <w:bCs/>
          <w:iCs/>
          <w:color w:val="767171" w:themeColor="background2" w:themeShade="80"/>
          <w:sz w:val="26"/>
          <w:szCs w:val="26"/>
        </w:rPr>
        <w:t>$245.34 (Doscientos cuarenta y cinco pesos 34/100 Moneda Nacional) y $98.14 (Noventa y ocho pesos 14/100 Moneda Nacional);</w:t>
      </w:r>
      <w:r w:rsidRPr="00894DC9">
        <w:rPr>
          <w:rFonts w:ascii="Calibri" w:hAnsi="Calibri" w:cs="Calibri"/>
          <w:iCs/>
          <w:color w:val="767171" w:themeColor="background2" w:themeShade="80"/>
          <w:sz w:val="26"/>
          <w:szCs w:val="26"/>
        </w:rPr>
        <w:t xml:space="preserve"> lo </w:t>
      </w:r>
    </w:p>
    <w:p w:rsidR="008070CD" w:rsidRPr="00894DC9" w:rsidRDefault="008070CD" w:rsidP="008070CD">
      <w:pPr>
        <w:ind w:firstLine="708"/>
        <w:jc w:val="right"/>
        <w:rPr>
          <w:rFonts w:ascii="Calibri" w:hAnsi="Calibri" w:cs="Calibri"/>
          <w:b/>
          <w:color w:val="767171" w:themeColor="background2" w:themeShade="80"/>
          <w:sz w:val="26"/>
          <w:szCs w:val="26"/>
        </w:rPr>
      </w:pPr>
      <w:r w:rsidRPr="00894DC9">
        <w:rPr>
          <w:rFonts w:ascii="Calibri" w:hAnsi="Calibri" w:cs="Calibri"/>
          <w:b/>
          <w:color w:val="767171" w:themeColor="background2" w:themeShade="80"/>
          <w:sz w:val="26"/>
          <w:szCs w:val="26"/>
        </w:rPr>
        <w:t xml:space="preserve">Expediente número 806/2doJAM/2017-JN </w:t>
      </w:r>
    </w:p>
    <w:p w:rsidR="008070CD" w:rsidRPr="00894DC9" w:rsidRDefault="008070CD" w:rsidP="008070CD">
      <w:pPr>
        <w:ind w:firstLine="708"/>
        <w:jc w:val="both"/>
        <w:rPr>
          <w:rFonts w:ascii="Calibri" w:hAnsi="Calibri" w:cs="Calibri"/>
          <w:iCs/>
          <w:color w:val="767171" w:themeColor="background2" w:themeShade="80"/>
          <w:sz w:val="26"/>
          <w:szCs w:val="26"/>
        </w:rPr>
      </w:pPr>
    </w:p>
    <w:p w:rsidR="008070CD" w:rsidRPr="00894DC9" w:rsidRDefault="008070CD" w:rsidP="008070CD">
      <w:pPr>
        <w:jc w:val="both"/>
        <w:rPr>
          <w:rFonts w:ascii="Calibri" w:hAnsi="Calibri" w:cs="Calibri"/>
          <w:color w:val="767171" w:themeColor="background2" w:themeShade="80"/>
          <w:sz w:val="26"/>
          <w:szCs w:val="26"/>
        </w:rPr>
      </w:pPr>
      <w:r w:rsidRPr="00894DC9">
        <w:rPr>
          <w:rFonts w:ascii="Calibri" w:hAnsi="Calibri" w:cs="Calibri"/>
          <w:iCs/>
          <w:color w:val="767171" w:themeColor="background2" w:themeShade="80"/>
          <w:sz w:val="26"/>
          <w:szCs w:val="26"/>
        </w:rPr>
        <w:t xml:space="preserve">que se encuentra debidamente acreditado con el original del mencionado recibo oficial de pago con número </w:t>
      </w:r>
      <w:r w:rsidRPr="00894DC9">
        <w:rPr>
          <w:rFonts w:ascii="Calibri" w:hAnsi="Calibri" w:cs="Calibri"/>
          <w:color w:val="767171" w:themeColor="background2" w:themeShade="80"/>
          <w:sz w:val="26"/>
          <w:szCs w:val="26"/>
        </w:rPr>
        <w:t>AA 6809000 (AA seis-ocho-cero-nueve-cero-cero-cero), de fecha 22 veintidós de junio del año pasado</w:t>
      </w:r>
      <w:r w:rsidRPr="00894DC9">
        <w:rPr>
          <w:rFonts w:ascii="Calibri" w:hAnsi="Calibri" w:cs="Calibri"/>
          <w:iCs/>
          <w:color w:val="767171" w:themeColor="background2" w:themeShade="80"/>
          <w:sz w:val="26"/>
          <w:szCs w:val="26"/>
        </w:rPr>
        <w:t>; visible en el expediente en copia certificada a foja 6 seis. . . . . . . . . . . . . . . . . . . . . . . . . . . . . . . . . . . . . . . . . . . . .</w:t>
      </w:r>
    </w:p>
    <w:p w:rsidR="008070CD" w:rsidRPr="00894DC9" w:rsidRDefault="008070CD" w:rsidP="008070CD">
      <w:pPr>
        <w:pStyle w:val="Textoindependiente"/>
        <w:tabs>
          <w:tab w:val="left" w:pos="3594"/>
        </w:tabs>
        <w:rPr>
          <w:rFonts w:ascii="Calibri" w:hAnsi="Calibri" w:cs="Calibri"/>
          <w:color w:val="767171" w:themeColor="background2" w:themeShade="80"/>
          <w:sz w:val="26"/>
          <w:szCs w:val="26"/>
        </w:rPr>
      </w:pPr>
    </w:p>
    <w:p w:rsidR="008070CD" w:rsidRPr="00894DC9" w:rsidRDefault="008070CD" w:rsidP="008070CD">
      <w:pPr>
        <w:pStyle w:val="Textoindependiente"/>
        <w:tabs>
          <w:tab w:val="left" w:pos="3594"/>
        </w:tabs>
        <w:rPr>
          <w:rFonts w:ascii="Calibri" w:hAnsi="Calibri" w:cs="Calibri"/>
          <w:iCs/>
          <w:color w:val="767171" w:themeColor="background2" w:themeShade="80"/>
          <w:sz w:val="26"/>
          <w:szCs w:val="26"/>
        </w:rPr>
      </w:pPr>
      <w:r w:rsidRPr="00894DC9">
        <w:rPr>
          <w:rFonts w:ascii="Calibri" w:hAnsi="Calibri" w:cs="Calibri"/>
          <w:color w:val="767171" w:themeColor="background2" w:themeShade="80"/>
          <w:sz w:val="26"/>
          <w:szCs w:val="26"/>
        </w:rPr>
        <w:t xml:space="preserve">            Actos que el impetrante del proceso considera ilegales, pues estimó que el Acta </w:t>
      </w:r>
      <w:r w:rsidRPr="00894DC9">
        <w:rPr>
          <w:rFonts w:ascii="Calibri" w:hAnsi="Calibri" w:cs="Calibri"/>
          <w:iCs/>
          <w:color w:val="767171" w:themeColor="background2" w:themeShade="80"/>
          <w:sz w:val="26"/>
          <w:szCs w:val="26"/>
        </w:rPr>
        <w:t>está indebidamente fundada y motivada. . . . . . . . .  . . . . . . . . . . . . . . . . . . . . .</w:t>
      </w:r>
    </w:p>
    <w:p w:rsidR="008070CD" w:rsidRPr="00894DC9" w:rsidRDefault="008070CD" w:rsidP="008070CD">
      <w:pPr>
        <w:pStyle w:val="Textoindependiente"/>
        <w:tabs>
          <w:tab w:val="left" w:pos="3594"/>
        </w:tabs>
        <w:rPr>
          <w:rFonts w:ascii="Calibri" w:hAnsi="Calibri" w:cs="Calibri"/>
          <w:iCs/>
          <w:color w:val="767171" w:themeColor="background2" w:themeShade="80"/>
          <w:sz w:val="26"/>
          <w:szCs w:val="26"/>
        </w:rPr>
      </w:pPr>
    </w:p>
    <w:p w:rsidR="008070CD" w:rsidRPr="00894DC9" w:rsidRDefault="008070CD" w:rsidP="008070CD">
      <w:pPr>
        <w:pStyle w:val="Textoindependiente"/>
        <w:tabs>
          <w:tab w:val="left" w:pos="3594"/>
        </w:tabs>
        <w:rPr>
          <w:rFonts w:ascii="Calibri" w:hAnsi="Calibri" w:cs="Calibri"/>
          <w:iCs/>
          <w:color w:val="767171" w:themeColor="background2" w:themeShade="80"/>
          <w:sz w:val="26"/>
          <w:szCs w:val="26"/>
        </w:rPr>
      </w:pPr>
      <w:r w:rsidRPr="00894DC9">
        <w:rPr>
          <w:rFonts w:ascii="Calibri" w:hAnsi="Calibri" w:cs="Calibri"/>
          <w:iCs/>
          <w:color w:val="767171" w:themeColor="background2" w:themeShade="80"/>
          <w:sz w:val="26"/>
          <w:szCs w:val="26"/>
        </w:rPr>
        <w:t xml:space="preserve">           A lo señalado por el justiciable, la autoridad demandada, el Agente de Tránsito, sólo expresó que la boleta de infracción se encuentra debidamente fundada y motivada; en tanto que el Titular de la Tesorería se limitó a negar que causa agravio alguno al impetrante. . . . . . . . . . </w:t>
      </w:r>
      <w:r w:rsidRPr="00894DC9">
        <w:rPr>
          <w:rFonts w:ascii="Calibri" w:hAnsi="Calibri" w:cs="Calibri"/>
          <w:color w:val="767171" w:themeColor="background2" w:themeShade="80"/>
          <w:sz w:val="26"/>
          <w:szCs w:val="26"/>
        </w:rPr>
        <w:t xml:space="preserve">. . . . . . . . . . . . . . . . . . . . . . . . . . . . . </w:t>
      </w:r>
    </w:p>
    <w:p w:rsidR="008070CD" w:rsidRPr="00894DC9" w:rsidRDefault="008070CD" w:rsidP="008070CD">
      <w:pPr>
        <w:pStyle w:val="Textoindependiente"/>
        <w:tabs>
          <w:tab w:val="left" w:pos="3594"/>
        </w:tabs>
        <w:rPr>
          <w:rFonts w:ascii="Calibri" w:hAnsi="Calibri" w:cs="Calibri"/>
          <w:iCs/>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Así las cosas, la “litis” planteada se hace consistir en determinar la legalidad o ilegalidad del acta de infracción con número T-5650060 (T guion cinco-seis-cinco-cero-cero-seis-cero), de fecha 21 veintiuno de junio del año 2017 dos mil diecisiete, y su calificación realizada el 22 veintidós de ese mismo mes y año; además, la de establecer la procedencia o improcedencia de la devolución del monto erogado por concepto de las multas impuestas. . . . . . . . . . . . . . . . . . . . </w:t>
      </w:r>
    </w:p>
    <w:p w:rsidR="008070CD" w:rsidRPr="00894DC9" w:rsidRDefault="008070CD" w:rsidP="008070CD">
      <w:pPr>
        <w:ind w:firstLine="708"/>
        <w:jc w:val="both"/>
        <w:rPr>
          <w:rFonts w:ascii="Calibri" w:hAnsi="Calibri" w:cs="Calibri"/>
          <w:b/>
          <w:bCs/>
          <w:i/>
          <w:iCs/>
          <w:color w:val="767171" w:themeColor="background2" w:themeShade="80"/>
          <w:sz w:val="26"/>
          <w:szCs w:val="26"/>
        </w:rPr>
      </w:pPr>
    </w:p>
    <w:p w:rsidR="008070CD" w:rsidRPr="00894DC9" w:rsidRDefault="008070CD" w:rsidP="008070CD">
      <w:pPr>
        <w:pStyle w:val="Textoindependiente"/>
        <w:ind w:firstLine="708"/>
        <w:rPr>
          <w:rFonts w:ascii="Calibri" w:hAnsi="Calibri" w:cs="Calibri"/>
          <w:bCs/>
          <w:iCs/>
          <w:color w:val="767171" w:themeColor="background2" w:themeShade="80"/>
          <w:sz w:val="26"/>
          <w:szCs w:val="26"/>
        </w:rPr>
      </w:pPr>
      <w:r w:rsidRPr="00894DC9">
        <w:rPr>
          <w:rFonts w:ascii="Calibri" w:hAnsi="Calibri" w:cs="Calibri"/>
          <w:b/>
          <w:bCs/>
          <w:i/>
          <w:iCs/>
          <w:color w:val="767171" w:themeColor="background2" w:themeShade="80"/>
          <w:sz w:val="26"/>
          <w:szCs w:val="26"/>
        </w:rPr>
        <w:t xml:space="preserve">SEXTO.- </w:t>
      </w:r>
      <w:r w:rsidRPr="00894DC9">
        <w:rPr>
          <w:rFonts w:ascii="Calibri" w:hAnsi="Calibri" w:cs="Calibri"/>
          <w:bCs/>
          <w:iCs/>
          <w:color w:val="767171" w:themeColor="background2" w:themeShade="80"/>
          <w:sz w:val="26"/>
          <w:szCs w:val="26"/>
        </w:rPr>
        <w:t>No existiendo impedimento legal, se procede al estudio del único</w:t>
      </w:r>
      <w:r w:rsidRPr="00894DC9">
        <w:rPr>
          <w:rFonts w:ascii="Calibri" w:hAnsi="Calibri" w:cs="Calibri"/>
          <w:b/>
          <w:bCs/>
          <w:iCs/>
          <w:color w:val="767171" w:themeColor="background2" w:themeShade="80"/>
          <w:sz w:val="26"/>
          <w:szCs w:val="26"/>
        </w:rPr>
        <w:t xml:space="preserve"> </w:t>
      </w:r>
      <w:r w:rsidRPr="00894DC9">
        <w:rPr>
          <w:rFonts w:ascii="Calibri" w:hAnsi="Calibri" w:cs="Calibri"/>
          <w:bCs/>
          <w:iCs/>
          <w:color w:val="767171" w:themeColor="background2" w:themeShade="80"/>
          <w:sz w:val="26"/>
          <w:szCs w:val="26"/>
        </w:rPr>
        <w:t>concepto de impugnación hecho valer en contra de la boleta impugnada,</w:t>
      </w:r>
      <w:r w:rsidRPr="00894DC9">
        <w:rPr>
          <w:rFonts w:ascii="Calibri" w:hAnsi="Calibri" w:cs="Calibri"/>
          <w:color w:val="767171" w:themeColor="background2" w:themeShade="80"/>
          <w:sz w:val="26"/>
          <w:szCs w:val="26"/>
        </w:rPr>
        <w:t xml:space="preserve"> </w:t>
      </w:r>
      <w:r w:rsidRPr="00894DC9">
        <w:rPr>
          <w:rFonts w:ascii="Calibri" w:hAnsi="Calibri"/>
          <w:color w:val="767171" w:themeColor="background2" w:themeShade="80"/>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 . . . . . . . . . . . . . . . . . . . . . </w:t>
      </w:r>
    </w:p>
    <w:p w:rsidR="008070CD" w:rsidRPr="00894DC9" w:rsidRDefault="008070CD" w:rsidP="008070CD">
      <w:pPr>
        <w:ind w:firstLine="708"/>
        <w:jc w:val="both"/>
        <w:rPr>
          <w:color w:val="767171" w:themeColor="background2" w:themeShade="80"/>
        </w:rPr>
      </w:pPr>
    </w:p>
    <w:p w:rsidR="008070CD" w:rsidRPr="00894DC9" w:rsidRDefault="008070CD" w:rsidP="008070CD">
      <w:pPr>
        <w:ind w:firstLine="708"/>
        <w:jc w:val="both"/>
        <w:rPr>
          <w:rFonts w:ascii="Calibri" w:hAnsi="Calibri"/>
          <w:i/>
          <w:iCs/>
          <w:color w:val="767171" w:themeColor="background2" w:themeShade="80"/>
          <w:sz w:val="26"/>
        </w:rPr>
      </w:pPr>
      <w:r w:rsidRPr="00894DC9">
        <w:rPr>
          <w:rFonts w:ascii="Calibri" w:hAnsi="Calibri"/>
          <w:b/>
          <w:bCs/>
          <w:i/>
          <w:iCs/>
          <w:color w:val="767171" w:themeColor="background2" w:themeShade="80"/>
          <w:sz w:val="26"/>
        </w:rPr>
        <w:t xml:space="preserve">“CONCEPTOS DE VIOLACIÓN. EL JUEZ NO ESTÁ OBLIGADO A TRANSCRIBIRLOS. </w:t>
      </w:r>
      <w:r w:rsidRPr="00894DC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94DC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94DC9">
        <w:rPr>
          <w:rFonts w:ascii="Calibri" w:hAnsi="Calibri" w:cs="Calibri"/>
          <w:i/>
          <w:iCs/>
          <w:color w:val="767171" w:themeColor="background2" w:themeShade="80"/>
          <w:sz w:val="26"/>
        </w:rPr>
        <w:t xml:space="preserve">. . . . . . . . . . . . . . . . . . . . . . . . . . . . . . . . . . . .  . . . . . . . . . . . . . . . . . . . . . . . . . .  . . </w:t>
      </w:r>
    </w:p>
    <w:p w:rsidR="008070CD" w:rsidRPr="00894DC9" w:rsidRDefault="008070CD" w:rsidP="008070CD">
      <w:pPr>
        <w:jc w:val="both"/>
        <w:rPr>
          <w:rFonts w:ascii="Calibri" w:hAnsi="Calibri" w:cs="Calibri"/>
          <w:bCs/>
          <w:iCs/>
          <w:color w:val="767171" w:themeColor="background2" w:themeShade="80"/>
          <w:sz w:val="22"/>
          <w:szCs w:val="26"/>
        </w:rPr>
      </w:pPr>
    </w:p>
    <w:p w:rsidR="008070CD" w:rsidRPr="00894DC9" w:rsidRDefault="008070CD" w:rsidP="008070CD">
      <w:pPr>
        <w:pStyle w:val="Sangra2detindependiente"/>
        <w:rPr>
          <w:rFonts w:ascii="Calibri" w:hAnsi="Calibri" w:cs="Calibri"/>
          <w:b/>
          <w:i/>
          <w:color w:val="767171" w:themeColor="background2" w:themeShade="80"/>
          <w:sz w:val="26"/>
          <w:szCs w:val="26"/>
        </w:rPr>
      </w:pPr>
      <w:r w:rsidRPr="00894DC9">
        <w:rPr>
          <w:rFonts w:ascii="Calibri" w:hAnsi="Calibri" w:cs="Calibri"/>
          <w:iCs/>
          <w:color w:val="767171" w:themeColor="background2" w:themeShade="80"/>
          <w:sz w:val="26"/>
          <w:szCs w:val="26"/>
        </w:rPr>
        <w:t xml:space="preserve">Así las cosas, en </w:t>
      </w:r>
      <w:r w:rsidRPr="00894DC9">
        <w:rPr>
          <w:rFonts w:ascii="Calibri" w:hAnsi="Calibri" w:cs="Calibri"/>
          <w:color w:val="767171" w:themeColor="background2" w:themeShade="80"/>
          <w:sz w:val="26"/>
          <w:szCs w:val="26"/>
        </w:rPr>
        <w:t xml:space="preserve">el concepto de impugnación señalado, el demandante refirió: </w:t>
      </w:r>
      <w:r w:rsidRPr="00894DC9">
        <w:rPr>
          <w:rFonts w:ascii="Calibri" w:hAnsi="Calibri" w:cs="Calibri"/>
          <w:b/>
          <w:i/>
          <w:color w:val="767171" w:themeColor="background2" w:themeShade="80"/>
          <w:sz w:val="26"/>
          <w:szCs w:val="26"/>
        </w:rPr>
        <w:t xml:space="preserve">“I.- </w:t>
      </w:r>
      <w:r w:rsidRPr="00894DC9">
        <w:rPr>
          <w:rFonts w:ascii="Calibri" w:hAnsi="Calibri" w:cs="Calibri"/>
          <w:i/>
          <w:color w:val="767171" w:themeColor="background2" w:themeShade="80"/>
          <w:sz w:val="26"/>
          <w:szCs w:val="26"/>
        </w:rPr>
        <w:t xml:space="preserve">Me causa agravio el acta de infracción… sin embargo del acta de infracción….  no se encuentra debidamente motivado…. Es omisa en </w:t>
      </w:r>
      <w:r w:rsidRPr="00894DC9">
        <w:rPr>
          <w:rFonts w:ascii="Calibri" w:hAnsi="Calibri" w:cs="Calibri"/>
          <w:i/>
          <w:color w:val="767171" w:themeColor="background2" w:themeShade="80"/>
          <w:sz w:val="26"/>
          <w:szCs w:val="26"/>
        </w:rPr>
        <w:lastRenderedPageBreak/>
        <w:t xml:space="preserve">establecer cuál fue el señalamiento en específico que no fue respetado, así como la conducta específica que el suscrito hubiere realizado…..en relación al segundo supuesto la autoridad es omisa en señalar si le solicitó que el suscrito exhibiera licencia de conducir….” . </w:t>
      </w:r>
      <w:r w:rsidRPr="00894DC9">
        <w:rPr>
          <w:rFonts w:ascii="Calibri" w:hAnsi="Calibri" w:cs="Calibri"/>
          <w:color w:val="767171" w:themeColor="background2" w:themeShade="80"/>
          <w:sz w:val="26"/>
          <w:szCs w:val="26"/>
        </w:rPr>
        <w:t xml:space="preserve">. . . . . . . . . . . . . . . . . . . . . . . . . . . . . . . . . . . .  . . . . . . . . . . . . . . . . . . . . . </w:t>
      </w:r>
      <w:r w:rsidRPr="00894DC9">
        <w:rPr>
          <w:rFonts w:ascii="Calibri" w:hAnsi="Calibri" w:cs="Calibri"/>
          <w:i/>
          <w:color w:val="767171" w:themeColor="background2" w:themeShade="80"/>
          <w:sz w:val="26"/>
          <w:szCs w:val="26"/>
        </w:rPr>
        <w:t xml:space="preserve"> </w:t>
      </w:r>
    </w:p>
    <w:p w:rsidR="008070CD" w:rsidRPr="00894DC9" w:rsidRDefault="008070CD" w:rsidP="008070CD">
      <w:pPr>
        <w:pStyle w:val="Sangra2detindependiente"/>
        <w:rPr>
          <w:rFonts w:ascii="Calibri" w:hAnsi="Calibri" w:cs="Calibri"/>
          <w:i/>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A lo que el Agente enjuiciado, se limitó a sostener que su acto se encontraba debidamente fundado y motivado y que los conceptos de impugnación deben ser declarados infundados, y por su parte, el Tesorero adujó que era inatendible lo expresado por el actor. . . . . . . . . . . . . . . . . . . . . . . . . . . . . . </w:t>
      </w:r>
    </w:p>
    <w:p w:rsidR="008070CD" w:rsidRPr="00894DC9" w:rsidRDefault="008070CD" w:rsidP="008070CD">
      <w:pPr>
        <w:jc w:val="both"/>
        <w:rPr>
          <w:rFonts w:ascii="Calibri" w:hAnsi="Calibri" w:cs="Calibri"/>
          <w:color w:val="767171" w:themeColor="background2" w:themeShade="80"/>
          <w:sz w:val="22"/>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Una vez analizada el acta de infracción impugnada, el concepto de impugnación planteado, resulta </w:t>
      </w:r>
      <w:r w:rsidRPr="00894DC9">
        <w:rPr>
          <w:rFonts w:ascii="Calibri" w:hAnsi="Calibri" w:cs="Calibri"/>
          <w:b/>
          <w:bCs/>
          <w:iCs/>
          <w:color w:val="767171" w:themeColor="background2" w:themeShade="80"/>
          <w:sz w:val="26"/>
          <w:szCs w:val="26"/>
        </w:rPr>
        <w:t>fundado</w:t>
      </w:r>
      <w:r w:rsidRPr="00894DC9">
        <w:rPr>
          <w:rFonts w:ascii="Calibri" w:hAnsi="Calibri" w:cs="Calibri"/>
          <w:iCs/>
          <w:color w:val="767171" w:themeColor="background2" w:themeShade="80"/>
          <w:sz w:val="26"/>
          <w:szCs w:val="26"/>
        </w:rPr>
        <w:t xml:space="preserve">; </w:t>
      </w:r>
      <w:r w:rsidRPr="00894DC9">
        <w:rPr>
          <w:rFonts w:ascii="Calibri" w:hAnsi="Calibri" w:cs="Calibri"/>
          <w:color w:val="767171" w:themeColor="background2" w:themeShade="80"/>
          <w:sz w:val="26"/>
          <w:szCs w:val="26"/>
        </w:rPr>
        <w:t>ya que resulta cierto el hecho de que el Agente de Tránsito enjuiciado, omitió motivar adecuadamente el acta de infracción</w:t>
      </w:r>
      <w:r w:rsidRPr="00894DC9">
        <w:rPr>
          <w:rFonts w:ascii="Calibri" w:hAnsi="Calibri" w:cs="Calibri"/>
          <w:i/>
          <w:iCs/>
          <w:color w:val="767171" w:themeColor="background2" w:themeShade="80"/>
          <w:sz w:val="26"/>
          <w:szCs w:val="26"/>
        </w:rPr>
        <w:t xml:space="preserve">; </w:t>
      </w:r>
      <w:r w:rsidRPr="00894DC9">
        <w:rPr>
          <w:rFonts w:ascii="Calibri" w:hAnsi="Calibri" w:cs="Calibri"/>
          <w:iCs/>
          <w:color w:val="767171" w:themeColor="background2" w:themeShade="80"/>
          <w:sz w:val="26"/>
          <w:szCs w:val="26"/>
        </w:rPr>
        <w:t>ya que</w:t>
      </w:r>
      <w:r w:rsidRPr="00894DC9">
        <w:rPr>
          <w:rFonts w:ascii="Calibri" w:hAnsi="Calibri" w:cs="Calibri"/>
          <w:i/>
          <w:iCs/>
          <w:color w:val="767171" w:themeColor="background2" w:themeShade="80"/>
          <w:sz w:val="26"/>
          <w:szCs w:val="26"/>
        </w:rPr>
        <w:t xml:space="preserve"> </w:t>
      </w:r>
      <w:r w:rsidRPr="00894DC9">
        <w:rPr>
          <w:rFonts w:ascii="Calibri" w:hAnsi="Calibri" w:cs="Calibri"/>
          <w:color w:val="767171" w:themeColor="background2" w:themeShade="80"/>
          <w:sz w:val="26"/>
          <w:szCs w:val="26"/>
        </w:rPr>
        <w:t xml:space="preserve">si bien es cierto que señaló dos preceptos que consideró infringidos, -el artículo 7, fracciones IV y I, del Reglamento de Tránsito Municipal de León, Guanajuato-; </w:t>
      </w:r>
      <w:r w:rsidRPr="00894DC9">
        <w:rPr>
          <w:rFonts w:ascii="Calibri" w:hAnsi="Calibri" w:cs="Calibri"/>
          <w:bCs/>
          <w:color w:val="767171" w:themeColor="background2" w:themeShade="80"/>
          <w:sz w:val="26"/>
          <w:szCs w:val="26"/>
        </w:rPr>
        <w:t xml:space="preserve">también lo es que </w:t>
      </w:r>
      <w:r w:rsidRPr="00894DC9">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p>
    <w:p w:rsidR="008070CD" w:rsidRPr="00894DC9" w:rsidRDefault="008070CD" w:rsidP="008070CD">
      <w:pPr>
        <w:tabs>
          <w:tab w:val="left" w:pos="720"/>
        </w:tabs>
        <w:jc w:val="both"/>
        <w:rPr>
          <w:rFonts w:ascii="Calibri" w:hAnsi="Calibri" w:cs="Calibri"/>
          <w:color w:val="767171" w:themeColor="background2" w:themeShade="80"/>
          <w:sz w:val="26"/>
          <w:szCs w:val="26"/>
        </w:rPr>
      </w:pPr>
    </w:p>
    <w:p w:rsidR="008070CD" w:rsidRPr="00894DC9" w:rsidRDefault="008070CD" w:rsidP="008070CD">
      <w:pPr>
        <w:tabs>
          <w:tab w:val="left" w:pos="720"/>
        </w:tabs>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ab/>
        <w:t>En efecto, al consistir la fundamentación en “</w:t>
      </w:r>
      <w:r w:rsidRPr="00894DC9">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894DC9">
        <w:rPr>
          <w:rFonts w:ascii="Calibri" w:hAnsi="Calibri" w:cs="Calibri"/>
          <w:color w:val="767171" w:themeColor="background2" w:themeShade="80"/>
          <w:sz w:val="26"/>
          <w:szCs w:val="26"/>
        </w:rPr>
        <w:t xml:space="preserve">; y la motivación en: </w:t>
      </w:r>
      <w:r w:rsidRPr="00894DC9">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894DC9">
        <w:rPr>
          <w:rFonts w:ascii="Calibri" w:hAnsi="Calibri" w:cs="Calibri"/>
          <w:color w:val="767171" w:themeColor="background2" w:themeShade="80"/>
          <w:sz w:val="26"/>
          <w:szCs w:val="26"/>
        </w:rPr>
        <w:t>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894DC9">
        <w:rPr>
          <w:rFonts w:ascii="Calibri" w:hAnsi="Calibri" w:cs="Calibri"/>
          <w:i/>
          <w:color w:val="767171" w:themeColor="background2" w:themeShade="80"/>
          <w:sz w:val="26"/>
          <w:szCs w:val="26"/>
        </w:rPr>
        <w:t>para qué</w:t>
      </w:r>
      <w:r w:rsidRPr="00894DC9">
        <w:rPr>
          <w:rFonts w:ascii="Calibri" w:hAnsi="Calibri" w:cs="Calibri"/>
          <w:color w:val="767171" w:themeColor="background2" w:themeShade="80"/>
          <w:sz w:val="26"/>
          <w:szCs w:val="26"/>
        </w:rPr>
        <w:t xml:space="preserve">" </w:t>
      </w:r>
      <w:r w:rsidRPr="00894DC9">
        <w:rPr>
          <w:rFonts w:ascii="Calibri" w:hAnsi="Calibri" w:cs="Calibri"/>
          <w:color w:val="767171" w:themeColor="background2" w:themeShade="80"/>
          <w:sz w:val="26"/>
          <w:szCs w:val="26"/>
        </w:rPr>
        <w:lastRenderedPageBreak/>
        <w:t xml:space="preserve">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894DC9">
        <w:rPr>
          <w:rFonts w:ascii="Calibri" w:hAnsi="Calibri" w:cs="Calibri"/>
          <w:i/>
          <w:iCs/>
          <w:color w:val="767171" w:themeColor="background2" w:themeShade="80"/>
          <w:sz w:val="26"/>
          <w:szCs w:val="26"/>
        </w:rPr>
        <w:t>“pro forma”</w:t>
      </w:r>
      <w:r w:rsidRPr="00894DC9">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p>
    <w:p w:rsidR="008070CD" w:rsidRPr="00894DC9" w:rsidRDefault="008070CD" w:rsidP="008070CD">
      <w:pPr>
        <w:jc w:val="both"/>
        <w:rPr>
          <w:rFonts w:ascii="Garamond" w:hAnsi="Garamond"/>
          <w:color w:val="767171" w:themeColor="background2" w:themeShade="80"/>
        </w:rPr>
      </w:pPr>
    </w:p>
    <w:p w:rsidR="008070CD" w:rsidRPr="00894DC9" w:rsidRDefault="008070CD" w:rsidP="008070CD">
      <w:pPr>
        <w:jc w:val="both"/>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ab/>
        <w:t xml:space="preserve">   Es el caso que en el acta impugnada, emitida el día 21 veintiuno de junio del año pasado, por el Agente de Tránsito enjuiciado; incurrió en una indebida motivación; dado que solamente refirió que en el lugar ubicado en: </w:t>
      </w:r>
      <w:r w:rsidRPr="00894DC9">
        <w:rPr>
          <w:rFonts w:ascii="Calibri" w:hAnsi="Calibri" w:cs="Calibri"/>
          <w:i/>
          <w:iCs/>
          <w:color w:val="767171" w:themeColor="background2" w:themeShade="80"/>
          <w:sz w:val="26"/>
          <w:szCs w:val="26"/>
        </w:rPr>
        <w:t>“Luz y Hermosillo”</w:t>
      </w:r>
      <w:r w:rsidRPr="00894DC9">
        <w:rPr>
          <w:rFonts w:ascii="Calibri" w:hAnsi="Calibri" w:cs="Calibri"/>
          <w:color w:val="767171" w:themeColor="background2" w:themeShade="80"/>
          <w:sz w:val="26"/>
          <w:szCs w:val="26"/>
        </w:rPr>
        <w:t xml:space="preserve">; de la Colonia </w:t>
      </w:r>
      <w:r w:rsidRPr="00894DC9">
        <w:rPr>
          <w:rFonts w:ascii="Calibri" w:hAnsi="Calibri" w:cs="Calibri"/>
          <w:i/>
          <w:color w:val="767171" w:themeColor="background2" w:themeShade="80"/>
          <w:sz w:val="26"/>
          <w:szCs w:val="26"/>
        </w:rPr>
        <w:t xml:space="preserve">“Killian” </w:t>
      </w:r>
      <w:r w:rsidRPr="00894DC9">
        <w:rPr>
          <w:rFonts w:ascii="Calibri" w:hAnsi="Calibri" w:cs="Calibri"/>
          <w:color w:val="767171" w:themeColor="background2" w:themeShade="80"/>
          <w:sz w:val="26"/>
          <w:szCs w:val="26"/>
        </w:rPr>
        <w:t>de esta ciudad</w:t>
      </w:r>
      <w:r w:rsidRPr="00894DC9">
        <w:rPr>
          <w:rFonts w:ascii="Calibri" w:hAnsi="Calibri" w:cs="Calibri"/>
          <w:i/>
          <w:color w:val="767171" w:themeColor="background2" w:themeShade="80"/>
          <w:sz w:val="26"/>
          <w:szCs w:val="26"/>
        </w:rPr>
        <w:t xml:space="preserve">; </w:t>
      </w:r>
      <w:r w:rsidRPr="00894DC9">
        <w:rPr>
          <w:rFonts w:ascii="Calibri" w:hAnsi="Calibri" w:cs="Calibri"/>
          <w:color w:val="767171" w:themeColor="background2" w:themeShade="80"/>
          <w:sz w:val="26"/>
          <w:szCs w:val="26"/>
        </w:rPr>
        <w:t xml:space="preserve">con sentido de orientación de </w:t>
      </w:r>
    </w:p>
    <w:p w:rsidR="008070CD" w:rsidRPr="00894DC9" w:rsidRDefault="008070CD" w:rsidP="008070CD">
      <w:pPr>
        <w:ind w:firstLine="708"/>
        <w:jc w:val="right"/>
        <w:rPr>
          <w:rFonts w:ascii="Calibri" w:hAnsi="Calibri" w:cs="Calibri"/>
          <w:b/>
          <w:color w:val="767171" w:themeColor="background2" w:themeShade="80"/>
          <w:sz w:val="26"/>
          <w:szCs w:val="26"/>
        </w:rPr>
      </w:pPr>
      <w:r w:rsidRPr="00894DC9">
        <w:rPr>
          <w:rFonts w:ascii="Calibri" w:hAnsi="Calibri" w:cs="Calibri"/>
          <w:b/>
          <w:color w:val="767171" w:themeColor="background2" w:themeShade="80"/>
          <w:sz w:val="26"/>
          <w:szCs w:val="26"/>
        </w:rPr>
        <w:t xml:space="preserve">Expediente número 806/2doJAM/2017-JN </w:t>
      </w:r>
    </w:p>
    <w:p w:rsidR="008070CD" w:rsidRPr="00894DC9" w:rsidRDefault="008070CD" w:rsidP="008070CD">
      <w:pPr>
        <w:jc w:val="both"/>
        <w:rPr>
          <w:rFonts w:ascii="Calibri" w:hAnsi="Calibri" w:cs="Calibri"/>
          <w:color w:val="767171" w:themeColor="background2" w:themeShade="80"/>
          <w:sz w:val="26"/>
          <w:szCs w:val="26"/>
        </w:rPr>
      </w:pPr>
    </w:p>
    <w:p w:rsidR="008070CD" w:rsidRPr="00894DC9" w:rsidRDefault="008070CD" w:rsidP="008070CD">
      <w:pPr>
        <w:jc w:val="both"/>
        <w:rPr>
          <w:rFonts w:ascii="Calibri" w:hAnsi="Calibri" w:cs="Calibri"/>
          <w:iCs/>
          <w:color w:val="767171" w:themeColor="background2" w:themeShade="80"/>
          <w:sz w:val="26"/>
          <w:szCs w:val="26"/>
        </w:rPr>
      </w:pPr>
      <w:r w:rsidRPr="00894DC9">
        <w:rPr>
          <w:rFonts w:ascii="Calibri" w:hAnsi="Calibri" w:cs="Calibri"/>
          <w:i/>
          <w:color w:val="767171" w:themeColor="background2" w:themeShade="80"/>
          <w:sz w:val="26"/>
          <w:szCs w:val="26"/>
        </w:rPr>
        <w:t>“oriente a poniente”</w:t>
      </w:r>
      <w:r w:rsidRPr="00894DC9">
        <w:rPr>
          <w:rFonts w:ascii="Calibri" w:hAnsi="Calibri" w:cs="Calibri"/>
          <w:color w:val="767171" w:themeColor="background2" w:themeShade="80"/>
          <w:sz w:val="26"/>
          <w:szCs w:val="26"/>
        </w:rPr>
        <w:t xml:space="preserve">; señalando como motivos: </w:t>
      </w:r>
      <w:r w:rsidRPr="00894DC9">
        <w:rPr>
          <w:rFonts w:ascii="Calibri" w:hAnsi="Calibri" w:cs="Calibri"/>
          <w:i/>
          <w:iCs/>
          <w:color w:val="767171" w:themeColor="background2" w:themeShade="80"/>
          <w:sz w:val="26"/>
          <w:szCs w:val="26"/>
        </w:rPr>
        <w:t xml:space="preserve">“Por no respetar los señalamientos oficiales de Tránsito” y “Por no portar licencia de conducir”; </w:t>
      </w:r>
      <w:r w:rsidRPr="00894DC9">
        <w:rPr>
          <w:rFonts w:ascii="Calibri" w:hAnsi="Calibri" w:cs="Calibri"/>
          <w:iCs/>
          <w:color w:val="767171" w:themeColor="background2" w:themeShade="80"/>
          <w:sz w:val="26"/>
          <w:szCs w:val="26"/>
        </w:rPr>
        <w:t>como</w:t>
      </w:r>
      <w:r w:rsidRPr="00894DC9">
        <w:rPr>
          <w:rFonts w:ascii="Calibri" w:hAnsi="Calibri" w:cs="Calibri"/>
          <w:i/>
          <w:iCs/>
          <w:color w:val="767171" w:themeColor="background2" w:themeShade="80"/>
          <w:sz w:val="26"/>
          <w:szCs w:val="26"/>
        </w:rPr>
        <w:t xml:space="preserve"> </w:t>
      </w:r>
      <w:r w:rsidRPr="00894DC9">
        <w:rPr>
          <w:rFonts w:ascii="Calibri" w:hAnsi="Calibri" w:cs="Calibri"/>
          <w:iCs/>
          <w:color w:val="767171" w:themeColor="background2" w:themeShade="80"/>
          <w:sz w:val="26"/>
          <w:szCs w:val="26"/>
        </w:rPr>
        <w:t xml:space="preserve">referencia escribió: </w:t>
      </w:r>
      <w:r w:rsidRPr="00894DC9">
        <w:rPr>
          <w:rFonts w:ascii="Calibri" w:hAnsi="Calibri" w:cs="Calibri"/>
          <w:i/>
          <w:iCs/>
          <w:color w:val="767171" w:themeColor="background2" w:themeShade="80"/>
          <w:sz w:val="26"/>
          <w:szCs w:val="26"/>
        </w:rPr>
        <w:t>“Luz y Hermosillo”</w:t>
      </w:r>
      <w:r w:rsidRPr="00894DC9">
        <w:rPr>
          <w:rFonts w:ascii="Calibri" w:hAnsi="Calibri" w:cs="Calibri"/>
          <w:iCs/>
          <w:color w:val="767171" w:themeColor="background2" w:themeShade="80"/>
          <w:sz w:val="26"/>
          <w:szCs w:val="26"/>
        </w:rPr>
        <w:t xml:space="preserve">, y en el espacio destinado para anotar la ubicación del señalamiento vial oficial, escribió: </w:t>
      </w:r>
      <w:r w:rsidRPr="00894DC9">
        <w:rPr>
          <w:rFonts w:ascii="Calibri" w:hAnsi="Calibri" w:cs="Calibri"/>
          <w:i/>
          <w:iCs/>
          <w:color w:val="767171" w:themeColor="background2" w:themeShade="80"/>
          <w:sz w:val="26"/>
          <w:szCs w:val="26"/>
        </w:rPr>
        <w:t>“sobre banqueta en poste Luz y Quiroga”</w:t>
      </w:r>
      <w:r w:rsidRPr="00894DC9">
        <w:rPr>
          <w:rFonts w:ascii="Calibri" w:hAnsi="Calibri" w:cs="Calibri"/>
          <w:iCs/>
          <w:color w:val="767171" w:themeColor="background2" w:themeShade="80"/>
          <w:sz w:val="26"/>
          <w:szCs w:val="26"/>
        </w:rPr>
        <w:t xml:space="preserve">; en tanto que en el destinado para describir como fue detectada en flagrancia la infracción, escribió: </w:t>
      </w:r>
      <w:r w:rsidRPr="00894DC9">
        <w:rPr>
          <w:rFonts w:ascii="Calibri" w:hAnsi="Calibri" w:cs="Calibri"/>
          <w:i/>
          <w:iCs/>
          <w:color w:val="767171" w:themeColor="background2" w:themeShade="80"/>
          <w:sz w:val="26"/>
          <w:szCs w:val="26"/>
        </w:rPr>
        <w:t xml:space="preserve">“sobre mi recorrido se detecta vehículo antes mencionado circulando sobre la calle Luz infringiendo el artículo 7 fracción IV del  y 7 fracción I del Reglamento de tránsito…..”; </w:t>
      </w:r>
      <w:r w:rsidRPr="00894DC9">
        <w:rPr>
          <w:rFonts w:ascii="Calibri" w:hAnsi="Calibri" w:cs="Calibri"/>
          <w:color w:val="767171" w:themeColor="background2" w:themeShade="80"/>
          <w:sz w:val="26"/>
          <w:szCs w:val="26"/>
        </w:rPr>
        <w:t>recogiendo en garantía del pago de la infracción, una de las placas de circulación del vehículo que era conducido por el justiciable;</w:t>
      </w:r>
      <w:r w:rsidRPr="00894DC9">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sus fracciones consignadas en el acta impugnada; pues el articulo y fracciones invocados como infringidos (Artículo 7 fracciones IV y I) del Reglamento de Tránsito Municipal de León, Guanajuato; lo que </w:t>
      </w:r>
      <w:r w:rsidRPr="00894DC9">
        <w:rPr>
          <w:rFonts w:ascii="Calibri" w:hAnsi="Calibri"/>
          <w:color w:val="767171" w:themeColor="background2" w:themeShade="80"/>
          <w:sz w:val="26"/>
        </w:rPr>
        <w:t xml:space="preserve">establecen es que los conductores de los vehículos deben obedecer las indicaciones de los agentes o personal de apoyo vial, y los señalamientos de tránsito y circular portando su licencia para conducir vigente; sin embargo, en el asunto que nos ocupa, el Agente solamente señaló que la infracción se emitió por no respetar señalamiento de tránsito; y por no portar licencia de conducir; pero no expresó en ese apartado, como fue en los hechos, que no se respetó una señal de tránsito; esto es donde se encontraba la misma, y en qué consistía: (no estacionarse; sólo ascenso y descenso; alto, ceda el paso a un vehículo; etcétera); así como cuál fue la conducta especifica desplegada por el gobernado; así como tampoco estableció si su recorrido eran en labores de patrullaje y vigilancia a píe o móvil; sin que tampoco estableciera en el Acta materia de la litis, si le requirió o no al conductor su licencia para conducir vigente para así llegar a la conclusión de que no la portaba; siendo que ello constituiría la debida motivación de la boleta, misma de la que carece . . . . . . . . . . . . . . . . . . . . . . . . . . . . . . . . . . . . . . . . . . </w:t>
      </w:r>
    </w:p>
    <w:p w:rsidR="008070CD" w:rsidRPr="00894DC9" w:rsidRDefault="008070CD" w:rsidP="008070CD">
      <w:pPr>
        <w:jc w:val="both"/>
        <w:rPr>
          <w:rFonts w:ascii="Calibri" w:hAnsi="Calibri"/>
          <w:color w:val="767171" w:themeColor="background2" w:themeShade="80"/>
          <w:sz w:val="20"/>
          <w:szCs w:val="26"/>
        </w:rPr>
      </w:pPr>
    </w:p>
    <w:p w:rsidR="008070CD" w:rsidRPr="00894DC9" w:rsidRDefault="008070CD" w:rsidP="008070CD">
      <w:pPr>
        <w:jc w:val="both"/>
        <w:rPr>
          <w:rFonts w:ascii="Calibri" w:hAnsi="Calibri" w:cs="Calibri"/>
          <w:color w:val="767171" w:themeColor="background2" w:themeShade="80"/>
          <w:sz w:val="26"/>
          <w:szCs w:val="26"/>
        </w:rPr>
      </w:pPr>
      <w:r w:rsidRPr="00894DC9">
        <w:rPr>
          <w:rFonts w:ascii="Calibri" w:hAnsi="Calibri"/>
          <w:color w:val="767171" w:themeColor="background2" w:themeShade="80"/>
          <w:sz w:val="26"/>
          <w:szCs w:val="26"/>
        </w:rPr>
        <w:tab/>
      </w:r>
      <w:r w:rsidRPr="00894DC9">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894DC9">
        <w:rPr>
          <w:rFonts w:ascii="Calibri" w:hAnsi="Calibri" w:cs="Calibri"/>
          <w:b/>
          <w:color w:val="767171" w:themeColor="background2" w:themeShade="80"/>
          <w:sz w:val="26"/>
          <w:szCs w:val="26"/>
        </w:rPr>
        <w:t>decretar</w:t>
      </w:r>
      <w:r w:rsidRPr="00894DC9">
        <w:rPr>
          <w:rFonts w:ascii="Calibri" w:hAnsi="Calibri" w:cs="Calibri"/>
          <w:color w:val="767171" w:themeColor="background2" w:themeShade="80"/>
          <w:sz w:val="26"/>
          <w:szCs w:val="26"/>
        </w:rPr>
        <w:t xml:space="preserve"> la </w:t>
      </w:r>
      <w:r w:rsidRPr="00894DC9">
        <w:rPr>
          <w:rFonts w:ascii="Calibri" w:hAnsi="Calibri" w:cs="Calibri"/>
          <w:b/>
          <w:bCs/>
          <w:color w:val="767171" w:themeColor="background2" w:themeShade="80"/>
          <w:sz w:val="26"/>
          <w:szCs w:val="26"/>
        </w:rPr>
        <w:t xml:space="preserve">nulidad total </w:t>
      </w:r>
      <w:r w:rsidRPr="00894DC9">
        <w:rPr>
          <w:rFonts w:ascii="Calibri" w:hAnsi="Calibri" w:cs="Calibri"/>
          <w:bCs/>
          <w:color w:val="767171" w:themeColor="background2" w:themeShade="80"/>
          <w:sz w:val="26"/>
          <w:szCs w:val="26"/>
        </w:rPr>
        <w:t>del A</w:t>
      </w:r>
      <w:r w:rsidRPr="00894DC9">
        <w:rPr>
          <w:rFonts w:ascii="Calibri" w:hAnsi="Calibri" w:cs="Calibri"/>
          <w:b/>
          <w:color w:val="767171" w:themeColor="background2" w:themeShade="80"/>
          <w:sz w:val="26"/>
          <w:szCs w:val="26"/>
        </w:rPr>
        <w:t>cta de Infracción</w:t>
      </w:r>
      <w:r w:rsidRPr="00894DC9">
        <w:rPr>
          <w:rFonts w:ascii="Calibri" w:hAnsi="Calibri" w:cs="Calibri"/>
          <w:color w:val="767171" w:themeColor="background2" w:themeShade="80"/>
          <w:sz w:val="26"/>
          <w:szCs w:val="26"/>
        </w:rPr>
        <w:t xml:space="preserve"> con número </w:t>
      </w:r>
      <w:r w:rsidRPr="00894DC9">
        <w:rPr>
          <w:rFonts w:ascii="Calibri" w:hAnsi="Calibri" w:cs="Calibri"/>
          <w:b/>
          <w:color w:val="767171" w:themeColor="background2" w:themeShade="80"/>
          <w:sz w:val="26"/>
          <w:szCs w:val="26"/>
        </w:rPr>
        <w:t>T-5650060 (T guion cinco-seis-cinco-cero-cero-seis-cero)</w:t>
      </w:r>
      <w:r w:rsidRPr="00894DC9">
        <w:rPr>
          <w:rFonts w:ascii="Calibri" w:hAnsi="Calibri" w:cs="Calibri"/>
          <w:color w:val="767171" w:themeColor="background2" w:themeShade="80"/>
          <w:sz w:val="26"/>
          <w:szCs w:val="26"/>
        </w:rPr>
        <w:t xml:space="preserve">, de fecha </w:t>
      </w:r>
      <w:r w:rsidRPr="00894DC9">
        <w:rPr>
          <w:rFonts w:ascii="Calibri" w:hAnsi="Calibri" w:cs="Calibri"/>
          <w:b/>
          <w:color w:val="767171" w:themeColor="background2" w:themeShade="80"/>
          <w:sz w:val="26"/>
          <w:szCs w:val="26"/>
        </w:rPr>
        <w:t>21</w:t>
      </w:r>
      <w:r w:rsidRPr="00894DC9">
        <w:rPr>
          <w:rFonts w:ascii="Calibri" w:hAnsi="Calibri" w:cs="Calibri"/>
          <w:color w:val="767171" w:themeColor="background2" w:themeShade="80"/>
          <w:sz w:val="26"/>
          <w:szCs w:val="26"/>
        </w:rPr>
        <w:t xml:space="preserve"> veintiuno de </w:t>
      </w:r>
      <w:r w:rsidRPr="00894DC9">
        <w:rPr>
          <w:rFonts w:ascii="Calibri" w:hAnsi="Calibri" w:cs="Calibri"/>
          <w:b/>
          <w:color w:val="767171" w:themeColor="background2" w:themeShade="80"/>
          <w:sz w:val="26"/>
          <w:szCs w:val="26"/>
        </w:rPr>
        <w:t>junio</w:t>
      </w:r>
      <w:r w:rsidRPr="00894DC9">
        <w:rPr>
          <w:rFonts w:ascii="Calibri" w:hAnsi="Calibri" w:cs="Calibri"/>
          <w:color w:val="767171" w:themeColor="background2" w:themeShade="80"/>
          <w:sz w:val="26"/>
          <w:szCs w:val="26"/>
        </w:rPr>
        <w:t xml:space="preserve"> del año </w:t>
      </w:r>
      <w:r w:rsidRPr="00894DC9">
        <w:rPr>
          <w:rFonts w:ascii="Calibri" w:hAnsi="Calibri" w:cs="Calibri"/>
          <w:b/>
          <w:color w:val="767171" w:themeColor="background2" w:themeShade="80"/>
          <w:sz w:val="26"/>
          <w:szCs w:val="26"/>
        </w:rPr>
        <w:t>2017</w:t>
      </w:r>
      <w:r w:rsidRPr="00894DC9">
        <w:rPr>
          <w:rFonts w:ascii="Calibri" w:hAnsi="Calibri" w:cs="Calibri"/>
          <w:color w:val="767171" w:themeColor="background2" w:themeShade="80"/>
          <w:sz w:val="26"/>
          <w:szCs w:val="26"/>
        </w:rPr>
        <w:t xml:space="preserve"> dos mil diecisiete; y por ende, por tratarse de un acto derivado de dicha boleta, </w:t>
      </w:r>
      <w:r w:rsidRPr="00894DC9">
        <w:rPr>
          <w:rFonts w:ascii="Calibri" w:hAnsi="Calibri" w:cs="Calibri"/>
          <w:b/>
          <w:color w:val="767171" w:themeColor="background2" w:themeShade="80"/>
          <w:sz w:val="26"/>
          <w:szCs w:val="26"/>
        </w:rPr>
        <w:t>se decreta la nulidad total de la calificación</w:t>
      </w:r>
      <w:r w:rsidRPr="00894DC9">
        <w:rPr>
          <w:rFonts w:ascii="Calibri" w:hAnsi="Calibri" w:cs="Calibri"/>
          <w:color w:val="767171" w:themeColor="background2" w:themeShade="80"/>
          <w:sz w:val="26"/>
          <w:szCs w:val="26"/>
        </w:rPr>
        <w:t xml:space="preserve"> realizada el día 22 veintidós de ese mismo mes y año</w:t>
      </w:r>
      <w:r w:rsidRPr="00894DC9">
        <w:rPr>
          <w:rFonts w:asciiTheme="minorHAnsi" w:hAnsiTheme="minorHAnsi" w:cstheme="minorHAnsi"/>
          <w:color w:val="767171" w:themeColor="background2" w:themeShade="80"/>
          <w:sz w:val="26"/>
          <w:szCs w:val="26"/>
        </w:rPr>
        <w:t xml:space="preserve">. . . . . . . . . . . . . . </w:t>
      </w:r>
    </w:p>
    <w:p w:rsidR="008070CD" w:rsidRPr="00894DC9" w:rsidRDefault="008070CD" w:rsidP="008070CD">
      <w:pPr>
        <w:jc w:val="both"/>
        <w:rPr>
          <w:rFonts w:ascii="Calibri" w:hAnsi="Calibri" w:cs="Calibri"/>
          <w:color w:val="767171" w:themeColor="background2" w:themeShade="80"/>
          <w:sz w:val="20"/>
          <w:szCs w:val="26"/>
        </w:rPr>
      </w:pPr>
    </w:p>
    <w:p w:rsidR="008070CD" w:rsidRPr="00894DC9" w:rsidRDefault="008070CD" w:rsidP="008070CD">
      <w:pPr>
        <w:jc w:val="both"/>
        <w:rPr>
          <w:rFonts w:ascii="Calibri" w:hAnsi="Calibri" w:cs="Calibri"/>
          <w:color w:val="767171" w:themeColor="background2" w:themeShade="80"/>
          <w:sz w:val="26"/>
          <w:szCs w:val="26"/>
        </w:rPr>
      </w:pPr>
      <w:r w:rsidRPr="00894DC9">
        <w:rPr>
          <w:rFonts w:ascii="Calibri" w:hAnsi="Calibri"/>
          <w:b/>
          <w:i/>
          <w:color w:val="767171" w:themeColor="background2" w:themeShade="80"/>
          <w:sz w:val="26"/>
        </w:rPr>
        <w:t xml:space="preserve">           SÉPTIMO.- </w:t>
      </w:r>
      <w:r w:rsidRPr="00894DC9">
        <w:rPr>
          <w:rFonts w:ascii="Calibri" w:hAnsi="Calibri" w:cs="Arial"/>
          <w:color w:val="767171" w:themeColor="background2" w:themeShade="80"/>
          <w:sz w:val="26"/>
          <w:szCs w:val="26"/>
        </w:rPr>
        <w:t xml:space="preserve">En virtud de que el concepto de impugnación estudiado, resultó fundado y es suficiente para decretar la nulidad total del acto impugnado; resulta innecesario el estudio del segundo expresado, ya que ello no cambiaría, ni afectaría el sentido de esta resolución. . . . . . . . . . . . . . . . . . . . . . . . . . . . . . . . . . . . . </w:t>
      </w:r>
    </w:p>
    <w:p w:rsidR="008070CD" w:rsidRPr="00894DC9" w:rsidRDefault="008070CD" w:rsidP="008070CD">
      <w:pPr>
        <w:pStyle w:val="Textoindependiente"/>
        <w:rPr>
          <w:rFonts w:ascii="Calibri" w:hAnsi="Calibri"/>
          <w:b/>
          <w:bCs/>
          <w:i/>
          <w:iCs/>
          <w:color w:val="767171" w:themeColor="background2" w:themeShade="80"/>
          <w:sz w:val="26"/>
          <w:szCs w:val="26"/>
        </w:rPr>
      </w:pPr>
    </w:p>
    <w:p w:rsidR="008070CD" w:rsidRPr="00894DC9" w:rsidRDefault="008070CD" w:rsidP="008070CD">
      <w:pPr>
        <w:pStyle w:val="Textoindependiente"/>
        <w:ind w:firstLine="708"/>
        <w:rPr>
          <w:rFonts w:ascii="Calibri" w:hAnsi="Calibri" w:cs="Arial"/>
          <w:color w:val="767171" w:themeColor="background2" w:themeShade="80"/>
          <w:sz w:val="26"/>
          <w:szCs w:val="27"/>
        </w:rPr>
      </w:pPr>
      <w:r w:rsidRPr="00894DC9">
        <w:rPr>
          <w:rFonts w:ascii="Calibri" w:hAnsi="Calibri" w:cs="Arial"/>
          <w:color w:val="767171" w:themeColor="background2" w:themeShade="80"/>
          <w:sz w:val="26"/>
          <w:szCs w:val="27"/>
        </w:rPr>
        <w:t xml:space="preserve">Sirve de apoyo a lo anterior la tesis de jurisprudencia que a la letra señala: </w:t>
      </w:r>
    </w:p>
    <w:p w:rsidR="008070CD" w:rsidRPr="00894DC9" w:rsidRDefault="008070CD" w:rsidP="008070CD">
      <w:pPr>
        <w:pStyle w:val="Textoindependiente"/>
        <w:ind w:firstLine="708"/>
        <w:rPr>
          <w:rFonts w:ascii="Calibri" w:hAnsi="Calibri" w:cs="Arial"/>
          <w:color w:val="767171" w:themeColor="background2" w:themeShade="80"/>
          <w:sz w:val="20"/>
          <w:szCs w:val="27"/>
        </w:rPr>
      </w:pPr>
    </w:p>
    <w:p w:rsidR="008070CD" w:rsidRPr="00894DC9" w:rsidRDefault="008070CD" w:rsidP="008070CD">
      <w:pPr>
        <w:ind w:firstLine="708"/>
        <w:jc w:val="both"/>
        <w:rPr>
          <w:rFonts w:ascii="Calibri" w:hAnsi="Calibri" w:cs="Calibri"/>
          <w:color w:val="767171" w:themeColor="background2" w:themeShade="80"/>
        </w:rPr>
      </w:pPr>
      <w:r w:rsidRPr="00894DC9">
        <w:rPr>
          <w:rFonts w:ascii="Calibri" w:hAnsi="Calibri"/>
          <w:b/>
          <w:bCs/>
          <w:i/>
          <w:iCs/>
          <w:color w:val="767171" w:themeColor="background2" w:themeShade="80"/>
          <w:sz w:val="26"/>
          <w:szCs w:val="27"/>
        </w:rPr>
        <w:t xml:space="preserve">“CONCEPTOS DE VIOLACION. CUANDO SU ESTUDIO ES INNECESARIO. </w:t>
      </w:r>
      <w:r w:rsidRPr="00894DC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4DC9">
        <w:rPr>
          <w:rFonts w:ascii="Calibri" w:hAnsi="Calibri"/>
          <w:color w:val="767171" w:themeColor="background2" w:themeShade="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894DC9">
        <w:rPr>
          <w:rFonts w:ascii="Calibri" w:hAnsi="Calibri"/>
          <w:color w:val="767171" w:themeColor="background2" w:themeShade="80"/>
        </w:rPr>
        <w:t xml:space="preserve">. . . . . </w:t>
      </w:r>
      <w:r w:rsidRPr="00894DC9">
        <w:rPr>
          <w:rFonts w:ascii="Calibri" w:hAnsi="Calibri" w:cs="Calibri"/>
          <w:color w:val="767171" w:themeColor="background2" w:themeShade="80"/>
          <w:sz w:val="22"/>
          <w:szCs w:val="22"/>
        </w:rPr>
        <w:t>. . . . . . . . . . . . . . . . . . . . . . . . . . . . . . . . . . . . . . . . . . . . . . . . . . . . . . . . . . . . . . . . . . . .</w:t>
      </w:r>
    </w:p>
    <w:p w:rsidR="008070CD" w:rsidRPr="00894DC9" w:rsidRDefault="008070CD" w:rsidP="008070CD">
      <w:pPr>
        <w:jc w:val="both"/>
        <w:rPr>
          <w:rFonts w:ascii="Calibri" w:hAnsi="Calibri"/>
          <w:b/>
          <w:i/>
          <w:color w:val="767171" w:themeColor="background2" w:themeShade="80"/>
          <w:sz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b/>
          <w:i/>
          <w:color w:val="767171" w:themeColor="background2" w:themeShade="80"/>
          <w:sz w:val="26"/>
          <w:szCs w:val="26"/>
        </w:rPr>
        <w:t>OCTAVO.-</w:t>
      </w:r>
      <w:r w:rsidRPr="00894DC9">
        <w:rPr>
          <w:rFonts w:ascii="Calibri" w:hAnsi="Calibri"/>
          <w:color w:val="767171" w:themeColor="background2" w:themeShade="80"/>
          <w:sz w:val="26"/>
          <w:szCs w:val="26"/>
        </w:rPr>
        <w:t xml:space="preserve"> De lo pretendido por la parte actora, se encuentra también lo concerniente a que se ordene a las autoridades demandadas a que devuelvan las cantidades de:</w:t>
      </w:r>
      <w:r w:rsidRPr="00894DC9">
        <w:rPr>
          <w:rFonts w:ascii="Calibri" w:hAnsi="Calibri" w:cs="Calibri"/>
          <w:bCs/>
          <w:iCs/>
          <w:color w:val="767171" w:themeColor="background2" w:themeShade="80"/>
          <w:sz w:val="26"/>
          <w:szCs w:val="26"/>
        </w:rPr>
        <w:t xml:space="preserve"> $245.34 (Doscientos cuarenta y cinco pesos 34/100 Moneda Nacional) y $98.14 (Noventa y ocho pesos 14/100 Moneda Nacional);</w:t>
      </w:r>
      <w:r w:rsidRPr="00894DC9">
        <w:rPr>
          <w:rFonts w:ascii="Calibri" w:hAnsi="Calibri" w:cs="Calibri"/>
          <w:iCs/>
          <w:color w:val="767171" w:themeColor="background2" w:themeShade="80"/>
          <w:sz w:val="26"/>
          <w:szCs w:val="26"/>
        </w:rPr>
        <w:t xml:space="preserve"> </w:t>
      </w:r>
      <w:r w:rsidRPr="00894DC9">
        <w:rPr>
          <w:rFonts w:ascii="Calibri" w:hAnsi="Calibri"/>
          <w:color w:val="767171" w:themeColor="background2" w:themeShade="80"/>
          <w:sz w:val="26"/>
          <w:szCs w:val="26"/>
        </w:rPr>
        <w:t xml:space="preserve">pagadas por concepto de multas por ambas infracciones asentadas. . . . . . . . . . . . . . . . . . . . </w:t>
      </w:r>
    </w:p>
    <w:p w:rsidR="008070CD" w:rsidRPr="00894DC9" w:rsidRDefault="008070CD" w:rsidP="008070CD">
      <w:pPr>
        <w:pStyle w:val="Textoindependiente"/>
        <w:tabs>
          <w:tab w:val="left" w:pos="3594"/>
        </w:tabs>
        <w:rPr>
          <w:rFonts w:ascii="Calibri" w:hAnsi="Calibri"/>
          <w:color w:val="767171" w:themeColor="background2" w:themeShade="80"/>
          <w:sz w:val="26"/>
          <w:szCs w:val="26"/>
        </w:rPr>
      </w:pPr>
    </w:p>
    <w:p w:rsidR="008070CD" w:rsidRPr="00894DC9" w:rsidRDefault="008070CD" w:rsidP="008070CD">
      <w:pPr>
        <w:ind w:firstLine="708"/>
        <w:jc w:val="both"/>
        <w:rPr>
          <w:rFonts w:ascii="Calibri" w:hAnsi="Calibri"/>
          <w:color w:val="767171" w:themeColor="background2" w:themeShade="80"/>
          <w:sz w:val="26"/>
          <w:szCs w:val="26"/>
        </w:rPr>
      </w:pPr>
      <w:r w:rsidRPr="00894DC9">
        <w:rPr>
          <w:rFonts w:ascii="Calibri" w:hAnsi="Calibri"/>
          <w:color w:val="767171" w:themeColor="background2" w:themeShade="80"/>
          <w:sz w:val="26"/>
          <w:szCs w:val="26"/>
        </w:rPr>
        <w:t xml:space="preserve">           Pretensión que resulta </w:t>
      </w:r>
      <w:r w:rsidRPr="00894DC9">
        <w:rPr>
          <w:rFonts w:ascii="Calibri" w:hAnsi="Calibri"/>
          <w:b/>
          <w:color w:val="767171" w:themeColor="background2" w:themeShade="80"/>
          <w:sz w:val="26"/>
          <w:szCs w:val="26"/>
        </w:rPr>
        <w:t xml:space="preserve">procedente </w:t>
      </w:r>
      <w:r w:rsidRPr="00894DC9">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894DC9">
        <w:rPr>
          <w:rFonts w:ascii="Calibri" w:hAnsi="Calibri"/>
          <w:b/>
          <w:color w:val="767171" w:themeColor="background2" w:themeShade="80"/>
          <w:sz w:val="26"/>
          <w:szCs w:val="26"/>
        </w:rPr>
        <w:t>se reconoce</w:t>
      </w:r>
      <w:r w:rsidRPr="00894DC9">
        <w:rPr>
          <w:rFonts w:ascii="Calibri" w:hAnsi="Calibri"/>
          <w:color w:val="767171" w:themeColor="background2" w:themeShade="80"/>
          <w:sz w:val="26"/>
          <w:szCs w:val="26"/>
        </w:rPr>
        <w:t xml:space="preserve"> el derecho que tiene el promovente a la devolución de las cantidades antes referidas. Destacándose que las autoridades demandadas, Tesorería Municipal y Agente de Tránsito, deberán realizar todas y cada una de las gestiones necesarias para tal fin; ello conforme al Criterio que sostiene el Pleno del Tribunal de Justicia  Administrativa del Estado, visible en la página 280 doscientos ochenta, de la </w:t>
      </w:r>
      <w:r w:rsidRPr="00894DC9">
        <w:rPr>
          <w:rFonts w:ascii="Calibri" w:hAnsi="Calibri"/>
          <w:color w:val="767171" w:themeColor="background2" w:themeShade="80"/>
          <w:sz w:val="26"/>
          <w:szCs w:val="26"/>
        </w:rPr>
        <w:lastRenderedPageBreak/>
        <w:t xml:space="preserve">publicación que contiene los </w:t>
      </w:r>
      <w:r w:rsidRPr="00894DC9">
        <w:rPr>
          <w:rFonts w:ascii="Calibri" w:hAnsi="Calibri"/>
          <w:i/>
          <w:color w:val="767171" w:themeColor="background2" w:themeShade="80"/>
          <w:sz w:val="26"/>
          <w:szCs w:val="26"/>
        </w:rPr>
        <w:t>“Criterios 2000-2008”</w:t>
      </w:r>
      <w:r w:rsidRPr="00894DC9">
        <w:rPr>
          <w:rFonts w:ascii="Calibri" w:hAnsi="Calibri"/>
          <w:color w:val="767171" w:themeColor="background2" w:themeShade="80"/>
          <w:sz w:val="26"/>
          <w:szCs w:val="26"/>
        </w:rPr>
        <w:t xml:space="preserve"> de dicho Tribunal, el cual es el siguiente: . . . . . </w:t>
      </w:r>
      <w:r w:rsidRPr="00894DC9">
        <w:rPr>
          <w:rFonts w:ascii="Calibri" w:hAnsi="Calibri" w:cs="Calibri"/>
          <w:color w:val="767171" w:themeColor="background2" w:themeShade="80"/>
          <w:sz w:val="26"/>
          <w:szCs w:val="26"/>
        </w:rPr>
        <w:t>. . . . . . . . . . . . . . . . . . . . . . . . . . . . . . . . . . . . . . . . . . . . . . . . . . . . . . .</w:t>
      </w:r>
    </w:p>
    <w:p w:rsidR="008070CD" w:rsidRPr="00894DC9" w:rsidRDefault="008070CD" w:rsidP="008070CD">
      <w:pPr>
        <w:pStyle w:val="Textoindependiente"/>
        <w:ind w:firstLine="708"/>
        <w:rPr>
          <w:rFonts w:ascii="Calibri" w:hAnsi="Calibri"/>
          <w:b/>
          <w:i/>
          <w:color w:val="767171" w:themeColor="background2" w:themeShade="80"/>
          <w:sz w:val="26"/>
          <w:szCs w:val="26"/>
        </w:rPr>
      </w:pPr>
    </w:p>
    <w:p w:rsidR="008070CD" w:rsidRPr="00894DC9" w:rsidRDefault="008070CD" w:rsidP="008070CD">
      <w:pPr>
        <w:pStyle w:val="Textoindependiente"/>
        <w:ind w:firstLine="708"/>
        <w:rPr>
          <w:rFonts w:ascii="Calibri" w:hAnsi="Calibri"/>
          <w:color w:val="767171" w:themeColor="background2" w:themeShade="80"/>
          <w:sz w:val="26"/>
          <w:szCs w:val="26"/>
        </w:rPr>
      </w:pPr>
      <w:r w:rsidRPr="00894DC9">
        <w:rPr>
          <w:rFonts w:ascii="Calibri" w:hAnsi="Calibri"/>
          <w:b/>
          <w:i/>
          <w:color w:val="767171" w:themeColor="background2" w:themeShade="80"/>
          <w:sz w:val="26"/>
          <w:szCs w:val="26"/>
        </w:rPr>
        <w:t>“DEVOLUCIÓN DEL PAGO DE LO INDEBIDO. CORRESPONDE A LA AUTORIDAD DELA QUE EMANÓ EL ACTO ANULADO  REALIZAR LAS GESTIONES PARA</w:t>
      </w:r>
      <w:r w:rsidRPr="00894DC9">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94DC9">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894DC9">
        <w:rPr>
          <w:rFonts w:ascii="Calibri" w:hAnsi="Calibri"/>
          <w:b/>
          <w:i/>
          <w:color w:val="767171" w:themeColor="background2" w:themeShade="80"/>
          <w:sz w:val="22"/>
          <w:szCs w:val="22"/>
        </w:rPr>
        <w:t>”</w:t>
      </w:r>
      <w:r w:rsidRPr="00894DC9">
        <w:rPr>
          <w:rFonts w:ascii="Calibri" w:hAnsi="Calibri"/>
          <w:color w:val="767171" w:themeColor="background2" w:themeShade="80"/>
          <w:sz w:val="26"/>
          <w:szCs w:val="26"/>
        </w:rPr>
        <w:t xml:space="preserve">. . . . . . . . . . . . . . . . . . . . . . . . . . . . . . . . . . . . . . . . . . . . . . . . </w:t>
      </w:r>
    </w:p>
    <w:p w:rsidR="008070CD" w:rsidRPr="00894DC9" w:rsidRDefault="008070CD" w:rsidP="008070CD">
      <w:pPr>
        <w:pStyle w:val="Textoindependiente"/>
        <w:rPr>
          <w:rFonts w:ascii="Calibri" w:hAnsi="Calibri" w:cs="Calibri"/>
          <w:color w:val="767171" w:themeColor="background2" w:themeShade="80"/>
          <w:sz w:val="26"/>
          <w:szCs w:val="26"/>
        </w:rPr>
      </w:pPr>
    </w:p>
    <w:p w:rsidR="008070CD" w:rsidRPr="00894DC9" w:rsidRDefault="008070CD" w:rsidP="008070CD">
      <w:pPr>
        <w:pStyle w:val="Textoindependiente"/>
        <w:ind w:firstLine="708"/>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p>
    <w:p w:rsidR="008070CD" w:rsidRPr="00894DC9" w:rsidRDefault="008070CD" w:rsidP="008070CD">
      <w:pPr>
        <w:pStyle w:val="Textoindependiente"/>
        <w:ind w:firstLine="708"/>
        <w:rPr>
          <w:rFonts w:ascii="Calibri" w:hAnsi="Calibri" w:cs="Calibri"/>
          <w:color w:val="767171" w:themeColor="background2" w:themeShade="80"/>
          <w:sz w:val="26"/>
          <w:szCs w:val="26"/>
        </w:rPr>
      </w:pPr>
    </w:p>
    <w:p w:rsidR="008070CD" w:rsidRPr="00894DC9" w:rsidRDefault="008070CD" w:rsidP="008070CD">
      <w:pPr>
        <w:ind w:firstLine="708"/>
        <w:jc w:val="right"/>
        <w:rPr>
          <w:rFonts w:ascii="Calibri" w:hAnsi="Calibri" w:cs="Calibri"/>
          <w:b/>
          <w:color w:val="767171" w:themeColor="background2" w:themeShade="80"/>
          <w:sz w:val="26"/>
          <w:szCs w:val="26"/>
        </w:rPr>
      </w:pPr>
      <w:r w:rsidRPr="00894DC9">
        <w:rPr>
          <w:rFonts w:ascii="Calibri" w:hAnsi="Calibri" w:cs="Calibri"/>
          <w:b/>
          <w:color w:val="767171" w:themeColor="background2" w:themeShade="80"/>
          <w:sz w:val="26"/>
          <w:szCs w:val="26"/>
        </w:rPr>
        <w:t xml:space="preserve">Expediente número 806/2doJAM/2017-JN </w:t>
      </w:r>
    </w:p>
    <w:p w:rsidR="008070CD" w:rsidRPr="00894DC9" w:rsidRDefault="008070CD" w:rsidP="008070CD">
      <w:pPr>
        <w:pStyle w:val="Textoindependiente"/>
        <w:ind w:firstLine="708"/>
        <w:rPr>
          <w:rFonts w:ascii="Calibri" w:hAnsi="Calibri" w:cs="Calibri"/>
          <w:color w:val="767171" w:themeColor="background2" w:themeShade="80"/>
          <w:sz w:val="26"/>
          <w:szCs w:val="26"/>
        </w:rPr>
      </w:pPr>
    </w:p>
    <w:p w:rsidR="008070CD" w:rsidRPr="00894DC9" w:rsidRDefault="008070CD" w:rsidP="008070CD">
      <w:pPr>
        <w:pStyle w:val="Textoindependiente"/>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Procedimiento y Justicia Administrativa para el Estado y los Municipios de Guanajuato, es de resolverse y se: . . . . . . . . . . . . . . . . . . . . . . . . . . . . . . . . . . . . . . . .</w:t>
      </w:r>
    </w:p>
    <w:p w:rsidR="008070CD" w:rsidRPr="00894DC9" w:rsidRDefault="008070CD" w:rsidP="008070CD">
      <w:pPr>
        <w:pStyle w:val="Textoindependiente"/>
        <w:rPr>
          <w:rFonts w:ascii="Calibri" w:hAnsi="Calibri" w:cs="Calibri"/>
          <w:color w:val="767171" w:themeColor="background2" w:themeShade="80"/>
          <w:sz w:val="26"/>
          <w:szCs w:val="26"/>
        </w:rPr>
      </w:pPr>
    </w:p>
    <w:p w:rsidR="008070CD" w:rsidRPr="00894DC9" w:rsidRDefault="008070CD" w:rsidP="008070CD">
      <w:pPr>
        <w:pStyle w:val="Textoindependiente"/>
        <w:jc w:val="center"/>
        <w:rPr>
          <w:rFonts w:ascii="Calibri" w:hAnsi="Calibri" w:cs="Calibri"/>
          <w:i/>
          <w:iCs/>
          <w:color w:val="767171" w:themeColor="background2" w:themeShade="80"/>
          <w:sz w:val="26"/>
          <w:szCs w:val="26"/>
        </w:rPr>
      </w:pPr>
      <w:r w:rsidRPr="00894DC9">
        <w:rPr>
          <w:rFonts w:ascii="Calibri" w:hAnsi="Calibri" w:cs="Calibri"/>
          <w:b/>
          <w:i/>
          <w:iCs/>
          <w:color w:val="767171" w:themeColor="background2" w:themeShade="80"/>
          <w:sz w:val="26"/>
          <w:szCs w:val="26"/>
        </w:rPr>
        <w:t xml:space="preserve">R E S U E L V E </w:t>
      </w:r>
      <w:r w:rsidRPr="00894DC9">
        <w:rPr>
          <w:rFonts w:ascii="Calibri" w:hAnsi="Calibri" w:cs="Calibri"/>
          <w:i/>
          <w:iCs/>
          <w:color w:val="767171" w:themeColor="background2" w:themeShade="80"/>
          <w:sz w:val="26"/>
          <w:szCs w:val="26"/>
        </w:rPr>
        <w:t>:</w:t>
      </w:r>
    </w:p>
    <w:p w:rsidR="008070CD" w:rsidRPr="00894DC9" w:rsidRDefault="008070CD" w:rsidP="008070CD">
      <w:pPr>
        <w:pStyle w:val="Textoindependiente"/>
        <w:rPr>
          <w:rFonts w:ascii="Calibri" w:hAnsi="Calibri" w:cs="Calibri"/>
          <w:b/>
          <w:bCs/>
          <w:i/>
          <w:iCs/>
          <w:color w:val="767171" w:themeColor="background2" w:themeShade="80"/>
          <w:sz w:val="26"/>
          <w:szCs w:val="26"/>
        </w:rPr>
      </w:pPr>
    </w:p>
    <w:p w:rsidR="008070CD" w:rsidRPr="00894DC9" w:rsidRDefault="008070CD" w:rsidP="008070CD">
      <w:pPr>
        <w:pStyle w:val="Textoindependiente"/>
        <w:ind w:firstLine="708"/>
        <w:rPr>
          <w:rFonts w:ascii="Calibri" w:hAnsi="Calibri" w:cs="Calibri"/>
          <w:color w:val="767171" w:themeColor="background2" w:themeShade="80"/>
          <w:sz w:val="26"/>
          <w:szCs w:val="26"/>
        </w:rPr>
      </w:pPr>
      <w:r w:rsidRPr="00894DC9">
        <w:rPr>
          <w:rFonts w:ascii="Calibri" w:hAnsi="Calibri" w:cs="Calibri"/>
          <w:b/>
          <w:bCs/>
          <w:i/>
          <w:iCs/>
          <w:color w:val="767171" w:themeColor="background2" w:themeShade="80"/>
          <w:sz w:val="26"/>
          <w:szCs w:val="26"/>
        </w:rPr>
        <w:t>PRIMERO</w:t>
      </w:r>
      <w:r w:rsidRPr="00894DC9">
        <w:rPr>
          <w:rFonts w:ascii="Calibri" w:hAnsi="Calibri" w:cs="Calibri"/>
          <w:color w:val="767171" w:themeColor="background2" w:themeShade="80"/>
          <w:sz w:val="26"/>
          <w:szCs w:val="26"/>
        </w:rPr>
        <w:t xml:space="preserve">.- Este Juzgado Segundo Administrativo Municipal determina ser </w:t>
      </w:r>
      <w:r w:rsidRPr="00894DC9">
        <w:rPr>
          <w:rFonts w:ascii="Calibri" w:hAnsi="Calibri" w:cs="Calibri"/>
          <w:b/>
          <w:color w:val="767171" w:themeColor="background2" w:themeShade="80"/>
          <w:sz w:val="26"/>
          <w:szCs w:val="26"/>
        </w:rPr>
        <w:t>competente</w:t>
      </w:r>
      <w:r w:rsidRPr="00894DC9">
        <w:rPr>
          <w:rFonts w:ascii="Calibri" w:hAnsi="Calibri" w:cs="Calibri"/>
          <w:color w:val="767171" w:themeColor="background2" w:themeShade="80"/>
          <w:sz w:val="26"/>
          <w:szCs w:val="26"/>
        </w:rPr>
        <w:t xml:space="preserve"> para conocer y resolver del presente proceso administrativo. . . . . . . </w:t>
      </w:r>
    </w:p>
    <w:p w:rsidR="008070CD" w:rsidRPr="00894DC9" w:rsidRDefault="008070CD" w:rsidP="008070CD">
      <w:pPr>
        <w:pStyle w:val="Textoindependiente"/>
        <w:rPr>
          <w:rFonts w:ascii="Calibri" w:hAnsi="Calibri" w:cs="Calibri"/>
          <w:color w:val="767171" w:themeColor="background2" w:themeShade="80"/>
          <w:sz w:val="26"/>
          <w:szCs w:val="26"/>
        </w:rPr>
      </w:pPr>
    </w:p>
    <w:p w:rsidR="008070CD" w:rsidRPr="00894DC9" w:rsidRDefault="008070CD" w:rsidP="008070CD">
      <w:pPr>
        <w:pStyle w:val="Textoindependiente"/>
        <w:ind w:firstLine="708"/>
        <w:rPr>
          <w:rFonts w:ascii="Calibri" w:hAnsi="Calibri" w:cs="Calibri"/>
          <w:color w:val="767171" w:themeColor="background2" w:themeShade="80"/>
          <w:sz w:val="26"/>
          <w:szCs w:val="26"/>
        </w:rPr>
      </w:pPr>
      <w:r w:rsidRPr="00894DC9">
        <w:rPr>
          <w:rFonts w:ascii="Calibri" w:hAnsi="Calibri" w:cs="Calibri"/>
          <w:b/>
          <w:bCs/>
          <w:i/>
          <w:iCs/>
          <w:color w:val="767171" w:themeColor="background2" w:themeShade="80"/>
          <w:sz w:val="26"/>
          <w:szCs w:val="26"/>
        </w:rPr>
        <w:t xml:space="preserve">SEGUNDO.- </w:t>
      </w:r>
      <w:r w:rsidRPr="00894DC9">
        <w:rPr>
          <w:rFonts w:ascii="Calibri" w:hAnsi="Calibri" w:cs="Calibri"/>
          <w:color w:val="767171" w:themeColor="background2" w:themeShade="80"/>
          <w:sz w:val="26"/>
          <w:szCs w:val="26"/>
        </w:rPr>
        <w:t xml:space="preserve">Resulta </w:t>
      </w:r>
      <w:r w:rsidRPr="00894DC9">
        <w:rPr>
          <w:rFonts w:ascii="Calibri" w:hAnsi="Calibri" w:cs="Calibri"/>
          <w:b/>
          <w:color w:val="767171" w:themeColor="background2" w:themeShade="80"/>
          <w:sz w:val="26"/>
          <w:szCs w:val="26"/>
        </w:rPr>
        <w:t>procedente</w:t>
      </w:r>
      <w:r w:rsidRPr="00894DC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94DC9">
        <w:rPr>
          <w:rFonts w:ascii="Calibri" w:hAnsi="Calibri" w:cs="Calibri"/>
          <w:color w:val="767171" w:themeColor="background2" w:themeShade="80"/>
          <w:sz w:val="26"/>
          <w:szCs w:val="26"/>
        </w:rPr>
        <w:t xml:space="preserve">, en contra del acta de infracción impugnada y su calificación. . . . . . . . . . . . . . . . . . . . . . . . . . . . . . . . . . . . .. . . . . . . . . </w:t>
      </w:r>
    </w:p>
    <w:p w:rsidR="008070CD" w:rsidRPr="00894DC9" w:rsidRDefault="008070CD" w:rsidP="008070CD">
      <w:pPr>
        <w:pStyle w:val="Textoindependiente"/>
        <w:ind w:firstLine="708"/>
        <w:rPr>
          <w:rFonts w:ascii="Calibri" w:hAnsi="Calibri" w:cs="Calibri"/>
          <w:bCs/>
          <w:iCs/>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b/>
          <w:bCs/>
          <w:i/>
          <w:iCs/>
          <w:color w:val="767171" w:themeColor="background2" w:themeShade="80"/>
          <w:sz w:val="26"/>
          <w:szCs w:val="26"/>
        </w:rPr>
        <w:t>TERCERO</w:t>
      </w:r>
      <w:r w:rsidRPr="00894DC9">
        <w:rPr>
          <w:rFonts w:ascii="Calibri" w:hAnsi="Calibri" w:cs="Calibri"/>
          <w:color w:val="767171" w:themeColor="background2" w:themeShade="80"/>
          <w:sz w:val="26"/>
          <w:szCs w:val="26"/>
        </w:rPr>
        <w:t xml:space="preserve">.- Se </w:t>
      </w:r>
      <w:r w:rsidRPr="00894DC9">
        <w:rPr>
          <w:rFonts w:ascii="Calibri" w:hAnsi="Calibri" w:cs="Calibri"/>
          <w:b/>
          <w:color w:val="767171" w:themeColor="background2" w:themeShade="80"/>
          <w:sz w:val="26"/>
          <w:szCs w:val="26"/>
        </w:rPr>
        <w:t>decreta</w:t>
      </w:r>
      <w:r w:rsidRPr="00894DC9">
        <w:rPr>
          <w:rFonts w:ascii="Calibri" w:hAnsi="Calibri" w:cs="Calibri"/>
          <w:color w:val="767171" w:themeColor="background2" w:themeShade="80"/>
          <w:sz w:val="26"/>
          <w:szCs w:val="26"/>
        </w:rPr>
        <w:t xml:space="preserve"> </w:t>
      </w:r>
      <w:r w:rsidRPr="00894DC9">
        <w:rPr>
          <w:rFonts w:ascii="Calibri" w:hAnsi="Calibri" w:cs="Calibri"/>
          <w:bCs/>
          <w:color w:val="767171" w:themeColor="background2" w:themeShade="80"/>
          <w:sz w:val="26"/>
          <w:szCs w:val="26"/>
        </w:rPr>
        <w:t>la</w:t>
      </w:r>
      <w:r w:rsidRPr="00894DC9">
        <w:rPr>
          <w:rFonts w:ascii="Calibri" w:hAnsi="Calibri" w:cs="Calibri"/>
          <w:b/>
          <w:bCs/>
          <w:color w:val="767171" w:themeColor="background2" w:themeShade="80"/>
          <w:sz w:val="26"/>
          <w:szCs w:val="26"/>
        </w:rPr>
        <w:t xml:space="preserve"> NULIDAD TOTAL </w:t>
      </w:r>
      <w:r w:rsidRPr="00894DC9">
        <w:rPr>
          <w:rFonts w:ascii="Calibri" w:hAnsi="Calibri" w:cs="Calibri"/>
          <w:color w:val="767171" w:themeColor="background2" w:themeShade="80"/>
          <w:sz w:val="26"/>
          <w:szCs w:val="26"/>
        </w:rPr>
        <w:t xml:space="preserve">del </w:t>
      </w:r>
      <w:r w:rsidRPr="00894DC9">
        <w:rPr>
          <w:rFonts w:ascii="Calibri" w:hAnsi="Calibri" w:cs="Calibri"/>
          <w:b/>
          <w:color w:val="767171" w:themeColor="background2" w:themeShade="80"/>
          <w:sz w:val="26"/>
          <w:szCs w:val="26"/>
        </w:rPr>
        <w:t>Acta de Infracción</w:t>
      </w:r>
      <w:r w:rsidRPr="00894DC9">
        <w:rPr>
          <w:rFonts w:ascii="Calibri" w:hAnsi="Calibri" w:cs="Calibri"/>
          <w:color w:val="767171" w:themeColor="background2" w:themeShade="80"/>
          <w:sz w:val="26"/>
          <w:szCs w:val="26"/>
        </w:rPr>
        <w:t xml:space="preserve"> número </w:t>
      </w:r>
      <w:r w:rsidRPr="00894DC9">
        <w:rPr>
          <w:rFonts w:ascii="Calibri" w:hAnsi="Calibri" w:cs="Calibri"/>
          <w:b/>
          <w:color w:val="767171" w:themeColor="background2" w:themeShade="80"/>
          <w:sz w:val="26"/>
          <w:szCs w:val="26"/>
        </w:rPr>
        <w:t>T-5650060 (T guion cinco-seis-cinco-cero-cero-seis-cero)</w:t>
      </w:r>
      <w:r w:rsidRPr="00894DC9">
        <w:rPr>
          <w:rFonts w:ascii="Calibri" w:hAnsi="Calibri" w:cs="Calibri"/>
          <w:color w:val="767171" w:themeColor="background2" w:themeShade="80"/>
          <w:sz w:val="26"/>
          <w:szCs w:val="26"/>
        </w:rPr>
        <w:t xml:space="preserve">, de fecha </w:t>
      </w:r>
      <w:r w:rsidRPr="00894DC9">
        <w:rPr>
          <w:rFonts w:ascii="Calibri" w:hAnsi="Calibri" w:cs="Calibri"/>
          <w:b/>
          <w:color w:val="767171" w:themeColor="background2" w:themeShade="80"/>
          <w:sz w:val="26"/>
          <w:szCs w:val="26"/>
        </w:rPr>
        <w:t>21</w:t>
      </w:r>
      <w:r w:rsidRPr="00894DC9">
        <w:rPr>
          <w:rFonts w:ascii="Calibri" w:hAnsi="Calibri" w:cs="Calibri"/>
          <w:color w:val="767171" w:themeColor="background2" w:themeShade="80"/>
          <w:sz w:val="26"/>
          <w:szCs w:val="26"/>
        </w:rPr>
        <w:t xml:space="preserve"> veintiuno de </w:t>
      </w:r>
      <w:r w:rsidRPr="00894DC9">
        <w:rPr>
          <w:rFonts w:ascii="Calibri" w:hAnsi="Calibri" w:cs="Calibri"/>
          <w:b/>
          <w:color w:val="767171" w:themeColor="background2" w:themeShade="80"/>
          <w:sz w:val="26"/>
          <w:szCs w:val="26"/>
        </w:rPr>
        <w:t>junio</w:t>
      </w:r>
      <w:r w:rsidRPr="00894DC9">
        <w:rPr>
          <w:rFonts w:ascii="Calibri" w:hAnsi="Calibri" w:cs="Calibri"/>
          <w:color w:val="767171" w:themeColor="background2" w:themeShade="80"/>
          <w:sz w:val="26"/>
          <w:szCs w:val="26"/>
        </w:rPr>
        <w:t xml:space="preserve"> del año </w:t>
      </w:r>
      <w:r w:rsidRPr="00894DC9">
        <w:rPr>
          <w:rFonts w:ascii="Calibri" w:hAnsi="Calibri" w:cs="Calibri"/>
          <w:b/>
          <w:color w:val="767171" w:themeColor="background2" w:themeShade="80"/>
          <w:sz w:val="26"/>
          <w:szCs w:val="26"/>
        </w:rPr>
        <w:t>2017</w:t>
      </w:r>
      <w:r w:rsidRPr="00894DC9">
        <w:rPr>
          <w:rFonts w:ascii="Calibri" w:hAnsi="Calibri" w:cs="Calibri"/>
          <w:color w:val="767171" w:themeColor="background2" w:themeShade="80"/>
          <w:sz w:val="26"/>
          <w:szCs w:val="26"/>
        </w:rPr>
        <w:t xml:space="preserve"> dos mil diecisiete y, la </w:t>
      </w:r>
      <w:r w:rsidRPr="00894DC9">
        <w:rPr>
          <w:rFonts w:ascii="Calibri" w:hAnsi="Calibri" w:cs="Calibri"/>
          <w:b/>
          <w:color w:val="767171" w:themeColor="background2" w:themeShade="80"/>
          <w:sz w:val="26"/>
          <w:szCs w:val="26"/>
        </w:rPr>
        <w:t>NULIDAD TOTAL</w:t>
      </w:r>
      <w:r w:rsidRPr="00894DC9">
        <w:rPr>
          <w:rFonts w:ascii="Calibri" w:hAnsi="Calibri" w:cs="Calibri"/>
          <w:color w:val="767171" w:themeColor="background2" w:themeShade="80"/>
          <w:sz w:val="26"/>
          <w:szCs w:val="26"/>
        </w:rPr>
        <w:t xml:space="preserve"> su calificación realizada el 22 veintidós de ese mismo mes y año</w:t>
      </w:r>
      <w:r w:rsidRPr="00894DC9">
        <w:rPr>
          <w:rFonts w:asciiTheme="minorHAnsi" w:hAnsiTheme="minorHAnsi" w:cstheme="minorHAnsi"/>
          <w:color w:val="767171" w:themeColor="background2" w:themeShade="80"/>
          <w:sz w:val="26"/>
          <w:szCs w:val="26"/>
        </w:rPr>
        <w:t xml:space="preserve">; </w:t>
      </w:r>
      <w:r w:rsidRPr="00894DC9">
        <w:rPr>
          <w:rFonts w:ascii="Calibri" w:hAnsi="Calibri" w:cs="Calibri"/>
          <w:color w:val="767171" w:themeColor="background2" w:themeShade="80"/>
          <w:sz w:val="26"/>
          <w:szCs w:val="26"/>
        </w:rPr>
        <w:t xml:space="preserve">ello en base a las </w:t>
      </w:r>
      <w:r w:rsidRPr="00894DC9">
        <w:rPr>
          <w:rFonts w:ascii="Calibri" w:hAnsi="Calibri" w:cs="Calibri"/>
          <w:color w:val="767171" w:themeColor="background2" w:themeShade="80"/>
          <w:sz w:val="26"/>
          <w:szCs w:val="26"/>
        </w:rPr>
        <w:lastRenderedPageBreak/>
        <w:t xml:space="preserve">consideraciones lógicas y jurídicas expresadas en el Considerando Sexto de la presente sentencia. . . . . . . . . . . . . . . . . . . . . . . . . . . . . . . . . . . . . . . . . . . . . . . . . . . . . </w:t>
      </w:r>
    </w:p>
    <w:p w:rsidR="008070CD" w:rsidRPr="00894DC9" w:rsidRDefault="008070CD" w:rsidP="008070CD">
      <w:pPr>
        <w:jc w:val="both"/>
        <w:rPr>
          <w:rFonts w:ascii="Calibri" w:hAnsi="Calibri" w:cs="Calibri"/>
          <w:b/>
          <w:bCs/>
          <w:i/>
          <w:iCs/>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b/>
          <w:bCs/>
          <w:i/>
          <w:iCs/>
          <w:color w:val="767171" w:themeColor="background2" w:themeShade="80"/>
          <w:sz w:val="26"/>
          <w:szCs w:val="26"/>
        </w:rPr>
        <w:t xml:space="preserve">CUARTO.- </w:t>
      </w:r>
      <w:r w:rsidRPr="00894DC9">
        <w:rPr>
          <w:rFonts w:ascii="Calibri" w:hAnsi="Calibri" w:cs="Calibri"/>
          <w:color w:val="767171" w:themeColor="background2" w:themeShade="80"/>
          <w:sz w:val="26"/>
          <w:szCs w:val="26"/>
        </w:rPr>
        <w:t xml:space="preserve">Se </w:t>
      </w:r>
      <w:r w:rsidRPr="00894DC9">
        <w:rPr>
          <w:rFonts w:ascii="Calibri" w:hAnsi="Calibri" w:cs="Calibri"/>
          <w:b/>
          <w:color w:val="767171" w:themeColor="background2" w:themeShade="80"/>
          <w:sz w:val="26"/>
          <w:szCs w:val="26"/>
        </w:rPr>
        <w:t xml:space="preserve">ordena </w:t>
      </w:r>
      <w:r w:rsidRPr="00894DC9">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894DC9">
        <w:rPr>
          <w:rFonts w:ascii="Calibri" w:hAnsi="Calibri" w:cs="Calibri"/>
          <w:color w:val="767171" w:themeColor="background2" w:themeShade="80"/>
          <w:sz w:val="26"/>
          <w:szCs w:val="26"/>
        </w:rPr>
        <w:t xml:space="preserve"> y a la </w:t>
      </w:r>
      <w:r w:rsidRPr="00894DC9">
        <w:rPr>
          <w:rFonts w:ascii="Calibri" w:hAnsi="Calibri" w:cs="Calibri"/>
          <w:b/>
          <w:color w:val="767171" w:themeColor="background2" w:themeShade="80"/>
          <w:sz w:val="26"/>
          <w:szCs w:val="26"/>
        </w:rPr>
        <w:t>Tesorería Municipal</w:t>
      </w:r>
      <w:r w:rsidRPr="00894DC9">
        <w:rPr>
          <w:rFonts w:ascii="Calibri" w:hAnsi="Calibri" w:cs="Calibri"/>
          <w:color w:val="767171" w:themeColor="background2" w:themeShade="80"/>
          <w:sz w:val="26"/>
          <w:szCs w:val="26"/>
        </w:rPr>
        <w:t xml:space="preserve">, a que, de manera coordinada, </w:t>
      </w:r>
      <w:r w:rsidRPr="00894DC9">
        <w:rPr>
          <w:rFonts w:ascii="Calibri" w:hAnsi="Calibri" w:cs="Calibri"/>
          <w:b/>
          <w:color w:val="767171" w:themeColor="background2" w:themeShade="80"/>
          <w:sz w:val="26"/>
          <w:szCs w:val="26"/>
        </w:rPr>
        <w:t>devuelvan</w:t>
      </w:r>
      <w:r w:rsidRPr="00894DC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894DC9">
        <w:rPr>
          <w:rFonts w:ascii="Calibri" w:hAnsi="Calibri" w:cs="Calibri"/>
          <w:color w:val="767171" w:themeColor="background2" w:themeShade="80"/>
          <w:sz w:val="26"/>
          <w:szCs w:val="26"/>
        </w:rPr>
        <w:t xml:space="preserve">, las </w:t>
      </w:r>
      <w:r w:rsidRPr="00894DC9">
        <w:rPr>
          <w:rFonts w:ascii="Calibri" w:hAnsi="Calibri"/>
          <w:color w:val="767171" w:themeColor="background2" w:themeShade="80"/>
          <w:sz w:val="26"/>
          <w:szCs w:val="26"/>
        </w:rPr>
        <w:t>cantidades de</w:t>
      </w:r>
      <w:r w:rsidRPr="00894DC9">
        <w:rPr>
          <w:rFonts w:ascii="Calibri" w:hAnsi="Calibri"/>
          <w:b/>
          <w:color w:val="767171" w:themeColor="background2" w:themeShade="80"/>
          <w:sz w:val="26"/>
          <w:szCs w:val="26"/>
        </w:rPr>
        <w:t>:</w:t>
      </w:r>
      <w:r w:rsidRPr="00894DC9">
        <w:rPr>
          <w:rFonts w:ascii="Calibri" w:hAnsi="Calibri" w:cs="Calibri"/>
          <w:b/>
          <w:bCs/>
          <w:iCs/>
          <w:color w:val="767171" w:themeColor="background2" w:themeShade="80"/>
          <w:sz w:val="26"/>
          <w:szCs w:val="26"/>
        </w:rPr>
        <w:t xml:space="preserve"> $245.34 (Doscientos cuarenta y cinco pesos 34/100 Moneda Nacional)</w:t>
      </w:r>
      <w:r w:rsidRPr="00894DC9">
        <w:rPr>
          <w:rFonts w:ascii="Calibri" w:hAnsi="Calibri" w:cs="Calibri"/>
          <w:bCs/>
          <w:iCs/>
          <w:color w:val="767171" w:themeColor="background2" w:themeShade="80"/>
          <w:sz w:val="26"/>
          <w:szCs w:val="26"/>
        </w:rPr>
        <w:t xml:space="preserve"> y </w:t>
      </w:r>
      <w:r w:rsidRPr="00894DC9">
        <w:rPr>
          <w:rFonts w:ascii="Calibri" w:hAnsi="Calibri" w:cs="Calibri"/>
          <w:b/>
          <w:bCs/>
          <w:iCs/>
          <w:color w:val="767171" w:themeColor="background2" w:themeShade="80"/>
          <w:sz w:val="26"/>
          <w:szCs w:val="26"/>
        </w:rPr>
        <w:t>$98.14 (Noventa y ocho pesos 14/100 Moneda Nacional)</w:t>
      </w:r>
      <w:r w:rsidRPr="00894DC9">
        <w:rPr>
          <w:rFonts w:ascii="Calibri" w:hAnsi="Calibri" w:cs="Calibri"/>
          <w:bCs/>
          <w:iCs/>
          <w:color w:val="767171" w:themeColor="background2" w:themeShade="80"/>
          <w:sz w:val="26"/>
          <w:szCs w:val="26"/>
        </w:rPr>
        <w:t>;</w:t>
      </w:r>
      <w:r w:rsidRPr="00894DC9">
        <w:rPr>
          <w:rFonts w:ascii="Calibri" w:hAnsi="Calibri" w:cs="Calibri"/>
          <w:iCs/>
          <w:color w:val="767171" w:themeColor="background2" w:themeShade="80"/>
          <w:sz w:val="26"/>
          <w:szCs w:val="26"/>
        </w:rPr>
        <w:t xml:space="preserve"> </w:t>
      </w:r>
      <w:r w:rsidRPr="00894DC9">
        <w:rPr>
          <w:rFonts w:ascii="Calibri" w:hAnsi="Calibri"/>
          <w:color w:val="767171" w:themeColor="background2" w:themeShade="80"/>
          <w:sz w:val="26"/>
          <w:szCs w:val="26"/>
        </w:rPr>
        <w:t>pagadas por concepto de multas</w:t>
      </w:r>
      <w:r w:rsidRPr="00894DC9">
        <w:rPr>
          <w:rFonts w:ascii="Calibri" w:hAnsi="Calibri" w:cs="Calibri"/>
          <w:color w:val="767171" w:themeColor="background2" w:themeShade="80"/>
          <w:sz w:val="26"/>
          <w:szCs w:val="26"/>
        </w:rPr>
        <w:t xml:space="preserve">; de acuerdo a lo argumentado en el Considerando Octavo de esta misma resolución. . . . . . . . . . </w:t>
      </w:r>
    </w:p>
    <w:p w:rsidR="008070CD" w:rsidRPr="00894DC9" w:rsidRDefault="008070CD" w:rsidP="008070CD">
      <w:pPr>
        <w:jc w:val="both"/>
        <w:rPr>
          <w:rFonts w:ascii="Calibri" w:hAnsi="Calibri" w:cs="Calibri"/>
          <w:b/>
          <w:color w:val="767171" w:themeColor="background2" w:themeShade="80"/>
          <w:sz w:val="26"/>
          <w:szCs w:val="26"/>
        </w:rPr>
      </w:pPr>
    </w:p>
    <w:p w:rsidR="008070CD" w:rsidRPr="00894DC9" w:rsidRDefault="008070CD" w:rsidP="008070CD">
      <w:pPr>
        <w:ind w:firstLine="708"/>
        <w:jc w:val="both"/>
        <w:rPr>
          <w:rFonts w:ascii="Calibri" w:hAnsi="Calibri" w:cs="Calibri"/>
          <w:color w:val="767171" w:themeColor="background2" w:themeShade="80"/>
          <w:sz w:val="26"/>
          <w:szCs w:val="26"/>
        </w:rPr>
      </w:pPr>
      <w:r w:rsidRPr="00894DC9">
        <w:rPr>
          <w:rFonts w:ascii="Calibri" w:hAnsi="Calibri" w:cs="Calibri"/>
          <w:b/>
          <w:color w:val="767171" w:themeColor="background2" w:themeShade="80"/>
          <w:sz w:val="26"/>
          <w:szCs w:val="26"/>
        </w:rPr>
        <w:t>Devolución</w:t>
      </w:r>
      <w:r w:rsidRPr="00894DC9">
        <w:rPr>
          <w:rFonts w:ascii="Calibri" w:hAnsi="Calibri" w:cs="Calibri"/>
          <w:color w:val="767171" w:themeColor="background2" w:themeShade="80"/>
          <w:sz w:val="26"/>
          <w:szCs w:val="26"/>
        </w:rPr>
        <w:t xml:space="preserve"> que se deberá realizar dentro de los </w:t>
      </w:r>
      <w:r w:rsidRPr="00894DC9">
        <w:rPr>
          <w:rFonts w:ascii="Calibri" w:hAnsi="Calibri" w:cs="Calibri"/>
          <w:b/>
          <w:color w:val="767171" w:themeColor="background2" w:themeShade="80"/>
          <w:sz w:val="26"/>
          <w:szCs w:val="26"/>
        </w:rPr>
        <w:t>15 quince días</w:t>
      </w:r>
      <w:r w:rsidRPr="00894DC9">
        <w:rPr>
          <w:rFonts w:ascii="Calibri" w:hAnsi="Calibri" w:cs="Calibri"/>
          <w:color w:val="767171" w:themeColor="background2" w:themeShade="80"/>
          <w:sz w:val="26"/>
          <w:szCs w:val="26"/>
        </w:rPr>
        <w:t xml:space="preserve"> hábiles siguientes a la fecha en que </w:t>
      </w:r>
      <w:r w:rsidRPr="00894DC9">
        <w:rPr>
          <w:rFonts w:ascii="Calibri" w:hAnsi="Calibri" w:cs="Calibri"/>
          <w:b/>
          <w:color w:val="767171" w:themeColor="background2" w:themeShade="80"/>
          <w:sz w:val="26"/>
          <w:szCs w:val="26"/>
        </w:rPr>
        <w:t>cause ejecutoria</w:t>
      </w:r>
      <w:r w:rsidRPr="00894DC9">
        <w:rPr>
          <w:rFonts w:ascii="Calibri" w:hAnsi="Calibri" w:cs="Calibri"/>
          <w:color w:val="767171" w:themeColor="background2" w:themeShade="80"/>
          <w:sz w:val="26"/>
          <w:szCs w:val="26"/>
        </w:rPr>
        <w:t xml:space="preserve"> la presente resolución; debiendo </w:t>
      </w:r>
      <w:r w:rsidRPr="00894DC9">
        <w:rPr>
          <w:rFonts w:ascii="Calibri" w:hAnsi="Calibri" w:cs="Calibri"/>
          <w:b/>
          <w:color w:val="767171" w:themeColor="background2" w:themeShade="80"/>
          <w:sz w:val="26"/>
          <w:szCs w:val="26"/>
        </w:rPr>
        <w:t>informar</w:t>
      </w:r>
      <w:r w:rsidRPr="00894DC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8070CD" w:rsidRPr="00894DC9" w:rsidRDefault="008070CD" w:rsidP="008070CD">
      <w:pPr>
        <w:pStyle w:val="Textoindependiente"/>
        <w:rPr>
          <w:rFonts w:ascii="Calibri" w:hAnsi="Calibri" w:cs="Calibri"/>
          <w:color w:val="767171" w:themeColor="background2" w:themeShade="80"/>
          <w:sz w:val="26"/>
          <w:szCs w:val="26"/>
        </w:rPr>
      </w:pPr>
    </w:p>
    <w:p w:rsidR="008070CD" w:rsidRPr="00894DC9" w:rsidRDefault="008070CD" w:rsidP="008070CD">
      <w:pPr>
        <w:pStyle w:val="Textoindependiente"/>
        <w:ind w:firstLine="708"/>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Notifíquese a las autoridades demandadas por oficio y por correo electrónico; y a la parte actora personalmente y también por correo electrónico. . </w:t>
      </w:r>
    </w:p>
    <w:p w:rsidR="008070CD" w:rsidRPr="00894DC9" w:rsidRDefault="008070CD" w:rsidP="008070CD">
      <w:pPr>
        <w:jc w:val="both"/>
        <w:rPr>
          <w:rFonts w:ascii="Calibri" w:hAnsi="Calibri" w:cs="Calibri"/>
          <w:color w:val="767171" w:themeColor="background2" w:themeShade="80"/>
          <w:sz w:val="26"/>
          <w:szCs w:val="26"/>
        </w:rPr>
      </w:pPr>
    </w:p>
    <w:p w:rsidR="008070CD" w:rsidRPr="00894DC9" w:rsidRDefault="008070CD" w:rsidP="008070CD">
      <w:pPr>
        <w:pStyle w:val="Textoindependiente"/>
        <w:ind w:firstLine="708"/>
        <w:rPr>
          <w:rFonts w:ascii="Calibri" w:hAnsi="Calibri" w:cs="Calibri"/>
          <w:b/>
          <w:bCs/>
          <w:color w:val="767171" w:themeColor="background2" w:themeShade="80"/>
          <w:sz w:val="26"/>
          <w:szCs w:val="26"/>
        </w:rPr>
      </w:pPr>
      <w:r w:rsidRPr="00894DC9">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8070CD" w:rsidRPr="00894DC9" w:rsidRDefault="008070CD" w:rsidP="008070CD">
      <w:pPr>
        <w:pStyle w:val="Textoindependiente"/>
        <w:rPr>
          <w:rFonts w:ascii="Calibri" w:hAnsi="Calibri" w:cs="Calibri"/>
          <w:color w:val="767171" w:themeColor="background2" w:themeShade="80"/>
          <w:sz w:val="26"/>
          <w:szCs w:val="26"/>
        </w:rPr>
      </w:pPr>
    </w:p>
    <w:p w:rsidR="008070CD" w:rsidRPr="00894DC9" w:rsidRDefault="008070CD" w:rsidP="008070CD">
      <w:pPr>
        <w:pStyle w:val="Textoindependiente"/>
        <w:ind w:firstLine="708"/>
        <w:rPr>
          <w:rFonts w:ascii="Calibri" w:hAnsi="Calibri" w:cs="Calibri"/>
          <w:color w:val="767171" w:themeColor="background2" w:themeShade="80"/>
          <w:sz w:val="26"/>
          <w:szCs w:val="26"/>
        </w:rPr>
      </w:pPr>
      <w:r w:rsidRPr="00894DC9">
        <w:rPr>
          <w:rFonts w:ascii="Calibri" w:hAnsi="Calibri" w:cs="Calibri"/>
          <w:color w:val="767171" w:themeColor="background2" w:themeShade="80"/>
          <w:sz w:val="26"/>
          <w:szCs w:val="26"/>
        </w:rPr>
        <w:t xml:space="preserve">Así lo resolvió y firma el Licenciado </w:t>
      </w:r>
      <w:r w:rsidRPr="00894DC9">
        <w:rPr>
          <w:rFonts w:ascii="Calibri" w:hAnsi="Calibri" w:cs="Calibri"/>
          <w:b/>
          <w:bCs/>
          <w:color w:val="767171" w:themeColor="background2" w:themeShade="80"/>
          <w:sz w:val="26"/>
          <w:szCs w:val="26"/>
        </w:rPr>
        <w:t>Ernesto Alejandro Mora Álvarez</w:t>
      </w:r>
      <w:r w:rsidRPr="00894DC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894DC9">
        <w:rPr>
          <w:rFonts w:ascii="Calibri" w:hAnsi="Calibri" w:cs="Calibri"/>
          <w:b/>
          <w:bCs/>
          <w:color w:val="767171" w:themeColor="background2" w:themeShade="80"/>
          <w:sz w:val="26"/>
          <w:szCs w:val="26"/>
        </w:rPr>
        <w:t>María del Rocío Villanueva Sánchez</w:t>
      </w:r>
      <w:r w:rsidRPr="00894DC9">
        <w:rPr>
          <w:rFonts w:ascii="Calibri" w:hAnsi="Calibri" w:cs="Calibri"/>
          <w:color w:val="767171" w:themeColor="background2" w:themeShade="80"/>
          <w:sz w:val="26"/>
          <w:szCs w:val="26"/>
        </w:rPr>
        <w:t xml:space="preserve">, quien da fe. . . . . . . . . . . . . . . . . . . . . . . . . . . . . . . . . . . . . . . . . . </w:t>
      </w:r>
    </w:p>
    <w:p w:rsidR="005321B8" w:rsidRDefault="008070CD">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CD"/>
    <w:rsid w:val="008070CD"/>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5C28D-8E3E-4995-BC57-B5DC9F96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0CD"/>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8070CD"/>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70CD"/>
    <w:rPr>
      <w:rFonts w:ascii="Arial" w:eastAsia="Calibri" w:hAnsi="Arial" w:cs="Times New Roman"/>
      <w:b/>
      <w:sz w:val="32"/>
      <w:szCs w:val="20"/>
      <w:lang w:val="es-MX" w:eastAsia="es-ES"/>
    </w:rPr>
  </w:style>
  <w:style w:type="paragraph" w:styleId="Textoindependiente">
    <w:name w:val="Body Text"/>
    <w:basedOn w:val="Normal"/>
    <w:link w:val="TextoindependienteCar"/>
    <w:rsid w:val="008070CD"/>
    <w:pPr>
      <w:jc w:val="both"/>
    </w:pPr>
    <w:rPr>
      <w:lang w:val="es-MX"/>
    </w:rPr>
  </w:style>
  <w:style w:type="character" w:customStyle="1" w:styleId="TextoindependienteCar">
    <w:name w:val="Texto independiente Car"/>
    <w:basedOn w:val="Fuentedeprrafopredeter"/>
    <w:link w:val="Textoindependiente"/>
    <w:rsid w:val="008070CD"/>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8070C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070CD"/>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3792</Words>
  <Characters>20856</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2018-04-30T13:56:00Z</dcterms:created>
  <dcterms:modified xsi:type="dcterms:W3CDTF">2018-04-30T13:57:00Z</dcterms:modified>
</cp:coreProperties>
</file>